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240" w:lineRule="atLeast"/>
        <w:jc w:val="left"/>
        <w:rPr>
          <w:rFonts w:ascii="仿宋_GB2312" w:hAnsi="黑体" w:eastAsia="仿宋_GB2312" w:cs="宋体"/>
          <w:color w:val="000000"/>
          <w:kern w:val="0"/>
          <w:sz w:val="32"/>
          <w:szCs w:val="32"/>
        </w:rPr>
      </w:pPr>
      <w:bookmarkStart w:id="0" w:name="_GoBack"/>
      <w:bookmarkEnd w:id="0"/>
      <w:r>
        <w:rPr>
          <w:rFonts w:hint="eastAsia" w:ascii="仿宋_GB2312" w:hAnsi="黑体" w:eastAsia="仿宋_GB2312"/>
          <w:color w:val="000000"/>
          <w:kern w:val="0"/>
          <w:sz w:val="32"/>
          <w:szCs w:val="32"/>
        </w:rPr>
        <w:t>附件1</w:t>
      </w:r>
    </w:p>
    <w:p>
      <w:pPr>
        <w:snapToGrid w:val="0"/>
        <w:spacing w:afterLines="50"/>
        <w:ind w:firstLine="1440" w:firstLineChars="400"/>
        <w:outlineLvl w:val="0"/>
        <w:rPr>
          <w:rFonts w:ascii="方正小标宋简体" w:hAnsi="Times New Roman" w:eastAsia="方正小标宋简体" w:cs="宋体"/>
          <w:color w:val="000000"/>
          <w:kern w:val="0"/>
          <w:sz w:val="36"/>
          <w:szCs w:val="36"/>
        </w:rPr>
      </w:pPr>
      <w:r>
        <w:rPr>
          <w:rFonts w:hint="eastAsia" w:ascii="方正小标宋简体" w:hAnsi="Times New Roman" w:eastAsia="方正小标宋简体" w:cs="宋体"/>
          <w:color w:val="000000"/>
          <w:kern w:val="0"/>
          <w:sz w:val="36"/>
          <w:szCs w:val="36"/>
        </w:rPr>
        <w:t>“计分卡”指标及相关内涵说明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计分卡”系综合衡量院校人才培养质量的管理评价工具，其关键指标包括：高职生毕业半年后的就业率、月收入、理工农医类专业相关度、母校满意度和自主创业比例等反映就业数量和质量的指标。所有的指标建议选取学生毕业半年后到一年之间某个时点进行调查。</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1.“月收入”指包含奖金、提成、住宿、住房公积金等折算成的现金总和。</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2.“理工农医类专业相关度”指理工农医类专业的毕业生认为所从事的工作与所学专业相关的比例，分母是本单位调查时理工农医类专业就业的毕业生人数，分子是本单位理工农医类专业的毕业生认为所从事的工作与所学专业相关的毕业生人数。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3.“母校满意度”指本单位高职毕业生对母校表示满意的比例。</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4.“雇主满意度”指录用应届高职毕业生的单位或部门对录用学生的满意度评价。</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专业大类月收入”指按《普通高等学校高职高专教育指导性专业目录》（试行）规定的各大类高职专业毕业生的人均月收入，可另附表（“雇主满意度”和“专业大类月收入”为选填指标，建议有条件的学校和地区可将其纳入“计分卡”）。</w:t>
      </w:r>
    </w:p>
    <w:p>
      <w:pPr>
        <w:spacing w:line="560" w:lineRule="exact"/>
        <w:jc w:val="center"/>
        <w:rPr>
          <w:rFonts w:ascii="黑体" w:hAnsi="黑体" w:eastAsia="黑体"/>
          <w:sz w:val="32"/>
          <w:szCs w:val="32"/>
        </w:rPr>
      </w:pPr>
      <w:r>
        <w:rPr>
          <w:rFonts w:ascii="仿宋_GB2312" w:eastAsia="仿宋_GB2312"/>
          <w:sz w:val="32"/>
          <w:szCs w:val="32"/>
        </w:rPr>
        <w:br w:type="page"/>
      </w:r>
      <w:r>
        <w:rPr>
          <w:rFonts w:hint="eastAsia" w:ascii="黑体" w:hAnsi="黑体" w:eastAsia="黑体"/>
          <w:sz w:val="32"/>
          <w:szCs w:val="32"/>
        </w:rPr>
        <w:t>表1 计分卡</w:t>
      </w:r>
    </w:p>
    <w:tbl>
      <w:tblPr>
        <w:tblStyle w:val="8"/>
        <w:tblW w:w="8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44"/>
        <w:gridCol w:w="909"/>
        <w:gridCol w:w="473"/>
        <w:gridCol w:w="3506"/>
        <w:gridCol w:w="698"/>
        <w:gridCol w:w="1196"/>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07" w:hRule="atLeast"/>
          <w:jc w:val="center"/>
        </w:trPr>
        <w:tc>
          <w:tcPr>
            <w:tcW w:w="744" w:type="dxa"/>
            <w:tcBorders>
              <w:top w:val="single" w:color="auto" w:sz="4" w:space="0"/>
              <w:left w:val="single" w:color="auto" w:sz="4" w:space="0"/>
              <w:bottom w:val="single" w:color="auto" w:sz="4" w:space="0"/>
            </w:tcBorders>
            <w:vAlign w:val="top"/>
          </w:tcPr>
          <w:p>
            <w:pPr>
              <w:widowControl/>
              <w:snapToGrid w:val="0"/>
              <w:spacing w:line="312" w:lineRule="auto"/>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院校代码</w:t>
            </w:r>
          </w:p>
        </w:tc>
        <w:tc>
          <w:tcPr>
            <w:tcW w:w="909" w:type="dxa"/>
            <w:tcBorders>
              <w:top w:val="single" w:color="auto" w:sz="4" w:space="0"/>
              <w:left w:val="single" w:color="auto" w:sz="4" w:space="0"/>
              <w:bottom w:val="single" w:color="auto" w:sz="4" w:space="0"/>
            </w:tcBorders>
            <w:vAlign w:val="top"/>
          </w:tcPr>
          <w:p>
            <w:pPr>
              <w:widowControl/>
              <w:snapToGrid w:val="0"/>
              <w:spacing w:line="312" w:lineRule="auto"/>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院校名称</w:t>
            </w:r>
          </w:p>
        </w:tc>
        <w:tc>
          <w:tcPr>
            <w:tcW w:w="397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指标</w:t>
            </w:r>
          </w:p>
        </w:tc>
        <w:tc>
          <w:tcPr>
            <w:tcW w:w="698"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单位</w:t>
            </w:r>
          </w:p>
        </w:tc>
        <w:tc>
          <w:tcPr>
            <w:tcW w:w="1196"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2014年</w:t>
            </w:r>
          </w:p>
        </w:tc>
        <w:tc>
          <w:tcPr>
            <w:tcW w:w="1184"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jc w:val="center"/>
        </w:trPr>
        <w:tc>
          <w:tcPr>
            <w:tcW w:w="744" w:type="dxa"/>
            <w:vMerge w:val="restart"/>
            <w:tcBorders>
              <w:top w:val="single" w:color="auto" w:sz="4" w:space="0"/>
              <w:left w:val="single" w:color="auto" w:sz="4" w:space="0"/>
            </w:tcBorders>
            <w:vAlign w:val="top"/>
          </w:tcPr>
          <w:p>
            <w:pPr>
              <w:widowControl/>
              <w:snapToGrid w:val="0"/>
              <w:spacing w:line="312" w:lineRule="auto"/>
              <w:jc w:val="center"/>
              <w:rPr>
                <w:rFonts w:ascii="仿宋_GB2312" w:hAnsi="宋体" w:eastAsia="仿宋_GB2312" w:cs="宋体"/>
                <w:color w:val="000000"/>
                <w:kern w:val="0"/>
                <w:sz w:val="24"/>
                <w:szCs w:val="24"/>
              </w:rPr>
            </w:pPr>
          </w:p>
        </w:tc>
        <w:tc>
          <w:tcPr>
            <w:tcW w:w="909" w:type="dxa"/>
            <w:vMerge w:val="restart"/>
            <w:tcBorders>
              <w:top w:val="single" w:color="auto" w:sz="4" w:space="0"/>
              <w:left w:val="single" w:color="auto" w:sz="4" w:space="0"/>
            </w:tcBorders>
            <w:vAlign w:val="top"/>
          </w:tcPr>
          <w:p>
            <w:pPr>
              <w:widowControl/>
              <w:snapToGrid w:val="0"/>
              <w:spacing w:line="312" w:lineRule="auto"/>
              <w:jc w:val="center"/>
              <w:rPr>
                <w:rFonts w:ascii="仿宋_GB2312" w:hAnsi="宋体" w:eastAsia="仿宋_GB2312" w:cs="宋体"/>
                <w:color w:val="000000"/>
                <w:kern w:val="0"/>
                <w:sz w:val="24"/>
                <w:szCs w:val="24"/>
              </w:rPr>
            </w:pPr>
          </w:p>
        </w:tc>
        <w:tc>
          <w:tcPr>
            <w:tcW w:w="473" w:type="dxa"/>
            <w:tcBorders>
              <w:top w:val="nil"/>
              <w:left w:val="single" w:color="auto" w:sz="4" w:space="0"/>
              <w:bottom w:val="single" w:color="auto" w:sz="4" w:space="0"/>
              <w:right w:val="single" w:color="auto" w:sz="4" w:space="0"/>
            </w:tcBorders>
            <w:vAlign w:val="center"/>
          </w:tcPr>
          <w:p>
            <w:pPr>
              <w:widowControl/>
              <w:snapToGrid w:val="0"/>
              <w:spacing w:line="312" w:lineRule="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506" w:type="dxa"/>
            <w:tcBorders>
              <w:top w:val="nil"/>
              <w:left w:val="nil"/>
              <w:bottom w:val="single" w:color="auto" w:sz="4" w:space="0"/>
              <w:right w:val="single" w:color="auto" w:sz="4" w:space="0"/>
            </w:tcBorders>
            <w:vAlign w:val="center"/>
          </w:tcPr>
          <w:p>
            <w:pPr>
              <w:widowControl/>
              <w:snapToGrid w:val="0"/>
              <w:spacing w:line="312"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就业率</w:t>
            </w:r>
          </w:p>
        </w:tc>
        <w:tc>
          <w:tcPr>
            <w:tcW w:w="698"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1196"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c>
          <w:tcPr>
            <w:tcW w:w="1184"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jc w:val="center"/>
        </w:trPr>
        <w:tc>
          <w:tcPr>
            <w:tcW w:w="744" w:type="dxa"/>
            <w:vMerge w:val="continue"/>
            <w:tcBorders>
              <w:left w:val="single" w:color="auto" w:sz="4" w:space="0"/>
            </w:tcBorders>
            <w:vAlign w:val="top"/>
          </w:tcPr>
          <w:p>
            <w:pPr>
              <w:widowControl/>
              <w:snapToGrid w:val="0"/>
              <w:spacing w:line="312" w:lineRule="auto"/>
              <w:jc w:val="center"/>
              <w:rPr>
                <w:rFonts w:ascii="仿宋_GB2312" w:hAnsi="宋体" w:eastAsia="仿宋_GB2312" w:cs="宋体"/>
                <w:color w:val="000000"/>
                <w:kern w:val="0"/>
                <w:sz w:val="24"/>
                <w:szCs w:val="24"/>
              </w:rPr>
            </w:pPr>
          </w:p>
        </w:tc>
        <w:tc>
          <w:tcPr>
            <w:tcW w:w="909" w:type="dxa"/>
            <w:vMerge w:val="continue"/>
            <w:tcBorders>
              <w:left w:val="single" w:color="auto" w:sz="4" w:space="0"/>
            </w:tcBorders>
            <w:vAlign w:val="top"/>
          </w:tcPr>
          <w:p>
            <w:pPr>
              <w:widowControl/>
              <w:snapToGrid w:val="0"/>
              <w:spacing w:line="312" w:lineRule="auto"/>
              <w:jc w:val="center"/>
              <w:rPr>
                <w:rFonts w:ascii="仿宋_GB2312" w:hAnsi="宋体" w:eastAsia="仿宋_GB2312" w:cs="宋体"/>
                <w:color w:val="000000"/>
                <w:kern w:val="0"/>
                <w:sz w:val="24"/>
                <w:szCs w:val="24"/>
              </w:rPr>
            </w:pPr>
          </w:p>
        </w:tc>
        <w:tc>
          <w:tcPr>
            <w:tcW w:w="473" w:type="dxa"/>
            <w:tcBorders>
              <w:top w:val="nil"/>
              <w:left w:val="single" w:color="auto" w:sz="4" w:space="0"/>
              <w:bottom w:val="single" w:color="auto" w:sz="4" w:space="0"/>
              <w:right w:val="single" w:color="auto" w:sz="4" w:space="0"/>
            </w:tcBorders>
            <w:vAlign w:val="center"/>
          </w:tcPr>
          <w:p>
            <w:pPr>
              <w:widowControl/>
              <w:snapToGrid w:val="0"/>
              <w:spacing w:line="312" w:lineRule="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506" w:type="dxa"/>
            <w:tcBorders>
              <w:top w:val="nil"/>
              <w:left w:val="nil"/>
              <w:bottom w:val="single" w:color="auto" w:sz="4" w:space="0"/>
              <w:right w:val="single" w:color="auto" w:sz="4" w:space="0"/>
            </w:tcBorders>
            <w:vAlign w:val="center"/>
          </w:tcPr>
          <w:p>
            <w:pPr>
              <w:widowControl/>
              <w:snapToGrid w:val="0"/>
              <w:spacing w:line="312"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月收入</w:t>
            </w:r>
          </w:p>
        </w:tc>
        <w:tc>
          <w:tcPr>
            <w:tcW w:w="698"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元</w:t>
            </w:r>
          </w:p>
        </w:tc>
        <w:tc>
          <w:tcPr>
            <w:tcW w:w="1196"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c>
          <w:tcPr>
            <w:tcW w:w="1184"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jc w:val="center"/>
        </w:trPr>
        <w:tc>
          <w:tcPr>
            <w:tcW w:w="744" w:type="dxa"/>
            <w:vMerge w:val="continue"/>
            <w:tcBorders>
              <w:left w:val="single" w:color="auto" w:sz="4" w:space="0"/>
            </w:tcBorders>
            <w:vAlign w:val="top"/>
          </w:tcPr>
          <w:p>
            <w:pPr>
              <w:widowControl/>
              <w:snapToGrid w:val="0"/>
              <w:spacing w:line="312" w:lineRule="auto"/>
              <w:ind w:firstLine="120" w:firstLineChars="50"/>
              <w:rPr>
                <w:rFonts w:ascii="仿宋_GB2312" w:hAnsi="宋体" w:eastAsia="仿宋_GB2312" w:cs="宋体"/>
                <w:color w:val="000000"/>
                <w:kern w:val="0"/>
                <w:sz w:val="24"/>
                <w:szCs w:val="24"/>
              </w:rPr>
            </w:pPr>
          </w:p>
        </w:tc>
        <w:tc>
          <w:tcPr>
            <w:tcW w:w="909" w:type="dxa"/>
            <w:vMerge w:val="continue"/>
            <w:tcBorders>
              <w:left w:val="single" w:color="auto" w:sz="4" w:space="0"/>
            </w:tcBorders>
            <w:vAlign w:val="top"/>
          </w:tcPr>
          <w:p>
            <w:pPr>
              <w:widowControl/>
              <w:snapToGrid w:val="0"/>
              <w:spacing w:line="312" w:lineRule="auto"/>
              <w:ind w:firstLine="120" w:firstLineChars="50"/>
              <w:rPr>
                <w:rFonts w:ascii="仿宋_GB2312" w:hAnsi="宋体" w:eastAsia="仿宋_GB2312" w:cs="宋体"/>
                <w:color w:val="000000"/>
                <w:kern w:val="0"/>
                <w:sz w:val="24"/>
                <w:szCs w:val="24"/>
              </w:rPr>
            </w:pPr>
          </w:p>
        </w:tc>
        <w:tc>
          <w:tcPr>
            <w:tcW w:w="473" w:type="dxa"/>
            <w:tcBorders>
              <w:top w:val="nil"/>
              <w:left w:val="single" w:color="auto" w:sz="4" w:space="0"/>
              <w:bottom w:val="single" w:color="auto" w:sz="4" w:space="0"/>
              <w:right w:val="single" w:color="auto" w:sz="4" w:space="0"/>
            </w:tcBorders>
            <w:vAlign w:val="center"/>
          </w:tcPr>
          <w:p>
            <w:pPr>
              <w:widowControl/>
              <w:snapToGrid w:val="0"/>
              <w:spacing w:line="312" w:lineRule="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3506" w:type="dxa"/>
            <w:tcBorders>
              <w:top w:val="nil"/>
              <w:left w:val="nil"/>
              <w:bottom w:val="single" w:color="auto" w:sz="4" w:space="0"/>
              <w:right w:val="single" w:color="auto" w:sz="4" w:space="0"/>
            </w:tcBorders>
            <w:vAlign w:val="center"/>
          </w:tcPr>
          <w:p>
            <w:pPr>
              <w:widowControl/>
              <w:snapToGrid w:val="0"/>
              <w:spacing w:line="312"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理工农医类专业相关度</w:t>
            </w:r>
          </w:p>
        </w:tc>
        <w:tc>
          <w:tcPr>
            <w:tcW w:w="698"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1196"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c>
          <w:tcPr>
            <w:tcW w:w="1184"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jc w:val="center"/>
        </w:trPr>
        <w:tc>
          <w:tcPr>
            <w:tcW w:w="744" w:type="dxa"/>
            <w:vMerge w:val="continue"/>
            <w:tcBorders>
              <w:left w:val="single" w:color="auto" w:sz="4" w:space="0"/>
            </w:tcBorders>
            <w:vAlign w:val="top"/>
          </w:tcPr>
          <w:p>
            <w:pPr>
              <w:widowControl/>
              <w:snapToGrid w:val="0"/>
              <w:spacing w:line="312" w:lineRule="auto"/>
              <w:ind w:firstLine="120" w:firstLineChars="50"/>
              <w:rPr>
                <w:rFonts w:ascii="仿宋_GB2312" w:hAnsi="宋体" w:eastAsia="仿宋_GB2312" w:cs="宋体"/>
                <w:color w:val="000000"/>
                <w:kern w:val="0"/>
                <w:sz w:val="24"/>
                <w:szCs w:val="24"/>
              </w:rPr>
            </w:pPr>
          </w:p>
        </w:tc>
        <w:tc>
          <w:tcPr>
            <w:tcW w:w="909" w:type="dxa"/>
            <w:vMerge w:val="continue"/>
            <w:tcBorders>
              <w:left w:val="single" w:color="auto" w:sz="4" w:space="0"/>
            </w:tcBorders>
            <w:vAlign w:val="top"/>
          </w:tcPr>
          <w:p>
            <w:pPr>
              <w:widowControl/>
              <w:snapToGrid w:val="0"/>
              <w:spacing w:line="312" w:lineRule="auto"/>
              <w:ind w:firstLine="120" w:firstLineChars="50"/>
              <w:rPr>
                <w:rFonts w:ascii="仿宋_GB2312" w:hAnsi="宋体" w:eastAsia="仿宋_GB2312" w:cs="宋体"/>
                <w:color w:val="000000"/>
                <w:kern w:val="0"/>
                <w:sz w:val="24"/>
                <w:szCs w:val="24"/>
              </w:rPr>
            </w:pPr>
          </w:p>
        </w:tc>
        <w:tc>
          <w:tcPr>
            <w:tcW w:w="473" w:type="dxa"/>
            <w:tcBorders>
              <w:top w:val="nil"/>
              <w:left w:val="single" w:color="auto" w:sz="4" w:space="0"/>
              <w:bottom w:val="single" w:color="auto" w:sz="4" w:space="0"/>
              <w:right w:val="single" w:color="auto" w:sz="4" w:space="0"/>
            </w:tcBorders>
            <w:vAlign w:val="center"/>
          </w:tcPr>
          <w:p>
            <w:pPr>
              <w:widowControl/>
              <w:snapToGrid w:val="0"/>
              <w:spacing w:line="312" w:lineRule="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3506" w:type="dxa"/>
            <w:tcBorders>
              <w:top w:val="nil"/>
              <w:left w:val="nil"/>
              <w:bottom w:val="single" w:color="auto" w:sz="4" w:space="0"/>
              <w:right w:val="single" w:color="auto" w:sz="4" w:space="0"/>
            </w:tcBorders>
            <w:vAlign w:val="center"/>
          </w:tcPr>
          <w:p>
            <w:pPr>
              <w:widowControl/>
              <w:snapToGrid w:val="0"/>
              <w:spacing w:line="312"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母校满意度</w:t>
            </w:r>
          </w:p>
        </w:tc>
        <w:tc>
          <w:tcPr>
            <w:tcW w:w="698"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1196"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c>
          <w:tcPr>
            <w:tcW w:w="1184"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jc w:val="center"/>
        </w:trPr>
        <w:tc>
          <w:tcPr>
            <w:tcW w:w="744" w:type="dxa"/>
            <w:vMerge w:val="continue"/>
            <w:tcBorders>
              <w:left w:val="single" w:color="auto" w:sz="4" w:space="0"/>
            </w:tcBorders>
            <w:vAlign w:val="top"/>
          </w:tcPr>
          <w:p>
            <w:pPr>
              <w:widowControl/>
              <w:snapToGrid w:val="0"/>
              <w:spacing w:line="312" w:lineRule="auto"/>
              <w:jc w:val="center"/>
              <w:rPr>
                <w:rFonts w:ascii="仿宋_GB2312" w:hAnsi="宋体" w:eastAsia="仿宋_GB2312" w:cs="宋体"/>
                <w:color w:val="000000"/>
                <w:kern w:val="0"/>
                <w:sz w:val="24"/>
                <w:szCs w:val="24"/>
              </w:rPr>
            </w:pPr>
          </w:p>
        </w:tc>
        <w:tc>
          <w:tcPr>
            <w:tcW w:w="909" w:type="dxa"/>
            <w:vMerge w:val="continue"/>
            <w:tcBorders>
              <w:left w:val="single" w:color="auto" w:sz="4" w:space="0"/>
            </w:tcBorders>
            <w:vAlign w:val="top"/>
          </w:tcPr>
          <w:p>
            <w:pPr>
              <w:widowControl/>
              <w:snapToGrid w:val="0"/>
              <w:spacing w:line="312" w:lineRule="auto"/>
              <w:jc w:val="center"/>
              <w:rPr>
                <w:rFonts w:ascii="仿宋_GB2312" w:hAnsi="宋体" w:eastAsia="仿宋_GB2312" w:cs="宋体"/>
                <w:color w:val="000000"/>
                <w:kern w:val="0"/>
                <w:sz w:val="24"/>
                <w:szCs w:val="24"/>
              </w:rPr>
            </w:pPr>
          </w:p>
        </w:tc>
        <w:tc>
          <w:tcPr>
            <w:tcW w:w="473" w:type="dxa"/>
            <w:tcBorders>
              <w:top w:val="nil"/>
              <w:left w:val="single" w:color="auto" w:sz="4" w:space="0"/>
              <w:bottom w:val="single" w:color="auto" w:sz="4" w:space="0"/>
              <w:right w:val="single" w:color="auto" w:sz="4" w:space="0"/>
            </w:tcBorders>
            <w:vAlign w:val="center"/>
          </w:tcPr>
          <w:p>
            <w:pPr>
              <w:widowControl/>
              <w:snapToGrid w:val="0"/>
              <w:spacing w:line="312" w:lineRule="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3506" w:type="dxa"/>
            <w:tcBorders>
              <w:top w:val="nil"/>
              <w:left w:val="nil"/>
              <w:bottom w:val="single" w:color="auto" w:sz="4" w:space="0"/>
              <w:right w:val="single" w:color="auto" w:sz="4" w:space="0"/>
            </w:tcBorders>
            <w:vAlign w:val="center"/>
          </w:tcPr>
          <w:p>
            <w:pPr>
              <w:widowControl/>
              <w:snapToGrid w:val="0"/>
              <w:spacing w:line="312"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自主创业比例</w:t>
            </w:r>
          </w:p>
        </w:tc>
        <w:tc>
          <w:tcPr>
            <w:tcW w:w="698"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1196"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c>
          <w:tcPr>
            <w:tcW w:w="1184"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jc w:val="center"/>
        </w:trPr>
        <w:tc>
          <w:tcPr>
            <w:tcW w:w="744" w:type="dxa"/>
            <w:vMerge w:val="continue"/>
            <w:tcBorders>
              <w:left w:val="single" w:color="auto" w:sz="4" w:space="0"/>
            </w:tcBorders>
            <w:vAlign w:val="top"/>
          </w:tcPr>
          <w:p>
            <w:pPr>
              <w:widowControl/>
              <w:snapToGrid w:val="0"/>
              <w:spacing w:line="312" w:lineRule="auto"/>
              <w:jc w:val="center"/>
              <w:rPr>
                <w:rFonts w:ascii="仿宋_GB2312" w:hAnsi="宋体" w:eastAsia="仿宋_GB2312" w:cs="宋体"/>
                <w:color w:val="000000"/>
                <w:kern w:val="0"/>
                <w:sz w:val="24"/>
                <w:szCs w:val="24"/>
              </w:rPr>
            </w:pPr>
          </w:p>
        </w:tc>
        <w:tc>
          <w:tcPr>
            <w:tcW w:w="909" w:type="dxa"/>
            <w:vMerge w:val="continue"/>
            <w:tcBorders>
              <w:left w:val="single" w:color="auto" w:sz="4" w:space="0"/>
            </w:tcBorders>
            <w:vAlign w:val="top"/>
          </w:tcPr>
          <w:p>
            <w:pPr>
              <w:widowControl/>
              <w:snapToGrid w:val="0"/>
              <w:spacing w:line="312" w:lineRule="auto"/>
              <w:jc w:val="center"/>
              <w:rPr>
                <w:rFonts w:ascii="仿宋_GB2312" w:hAnsi="宋体" w:eastAsia="仿宋_GB2312" w:cs="宋体"/>
                <w:color w:val="000000"/>
                <w:kern w:val="0"/>
                <w:sz w:val="24"/>
                <w:szCs w:val="24"/>
              </w:rPr>
            </w:pPr>
          </w:p>
        </w:tc>
        <w:tc>
          <w:tcPr>
            <w:tcW w:w="473" w:type="dxa"/>
            <w:tcBorders>
              <w:top w:val="nil"/>
              <w:left w:val="single" w:color="auto" w:sz="4" w:space="0"/>
              <w:bottom w:val="single" w:color="auto" w:sz="4" w:space="0"/>
              <w:right w:val="single" w:color="auto" w:sz="4" w:space="0"/>
            </w:tcBorders>
            <w:vAlign w:val="center"/>
          </w:tcPr>
          <w:p>
            <w:pPr>
              <w:widowControl/>
              <w:snapToGrid w:val="0"/>
              <w:spacing w:line="312" w:lineRule="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3506" w:type="dxa"/>
            <w:tcBorders>
              <w:top w:val="nil"/>
              <w:left w:val="nil"/>
              <w:bottom w:val="single" w:color="auto" w:sz="4" w:space="0"/>
              <w:right w:val="single" w:color="auto" w:sz="4" w:space="0"/>
            </w:tcBorders>
            <w:vAlign w:val="center"/>
          </w:tcPr>
          <w:p>
            <w:pPr>
              <w:widowControl/>
              <w:snapToGrid w:val="0"/>
              <w:spacing w:line="312"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雇主满意度</w:t>
            </w:r>
          </w:p>
        </w:tc>
        <w:tc>
          <w:tcPr>
            <w:tcW w:w="698"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1196"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c>
          <w:tcPr>
            <w:tcW w:w="1184"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jc w:val="center"/>
        </w:trPr>
        <w:tc>
          <w:tcPr>
            <w:tcW w:w="744" w:type="dxa"/>
            <w:vMerge w:val="continue"/>
            <w:tcBorders>
              <w:left w:val="single" w:color="auto" w:sz="4" w:space="0"/>
              <w:bottom w:val="single" w:color="auto" w:sz="4" w:space="0"/>
            </w:tcBorders>
            <w:vAlign w:val="top"/>
          </w:tcPr>
          <w:p>
            <w:pPr>
              <w:widowControl/>
              <w:snapToGrid w:val="0"/>
              <w:spacing w:line="312" w:lineRule="auto"/>
              <w:jc w:val="center"/>
              <w:rPr>
                <w:rFonts w:ascii="仿宋_GB2312" w:hAnsi="宋体" w:eastAsia="仿宋_GB2312" w:cs="宋体"/>
                <w:color w:val="000000"/>
                <w:kern w:val="0"/>
                <w:sz w:val="24"/>
                <w:szCs w:val="24"/>
              </w:rPr>
            </w:pPr>
          </w:p>
        </w:tc>
        <w:tc>
          <w:tcPr>
            <w:tcW w:w="909" w:type="dxa"/>
            <w:vMerge w:val="continue"/>
            <w:tcBorders>
              <w:left w:val="single" w:color="auto" w:sz="4" w:space="0"/>
              <w:bottom w:val="single" w:color="auto" w:sz="4" w:space="0"/>
            </w:tcBorders>
            <w:vAlign w:val="top"/>
          </w:tcPr>
          <w:p>
            <w:pPr>
              <w:widowControl/>
              <w:snapToGrid w:val="0"/>
              <w:spacing w:line="312" w:lineRule="auto"/>
              <w:jc w:val="center"/>
              <w:rPr>
                <w:rFonts w:ascii="仿宋_GB2312" w:hAnsi="宋体" w:eastAsia="仿宋_GB2312" w:cs="宋体"/>
                <w:color w:val="000000"/>
                <w:kern w:val="0"/>
                <w:sz w:val="24"/>
                <w:szCs w:val="24"/>
              </w:rPr>
            </w:pPr>
          </w:p>
        </w:tc>
        <w:tc>
          <w:tcPr>
            <w:tcW w:w="473" w:type="dxa"/>
            <w:tcBorders>
              <w:top w:val="nil"/>
              <w:left w:val="single" w:color="auto" w:sz="4" w:space="0"/>
              <w:bottom w:val="single" w:color="auto" w:sz="4" w:space="0"/>
              <w:right w:val="single" w:color="auto" w:sz="4" w:space="0"/>
            </w:tcBorders>
            <w:vAlign w:val="center"/>
          </w:tcPr>
          <w:p>
            <w:pPr>
              <w:widowControl/>
              <w:snapToGrid w:val="0"/>
              <w:spacing w:line="312" w:lineRule="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3506" w:type="dxa"/>
            <w:tcBorders>
              <w:top w:val="nil"/>
              <w:left w:val="nil"/>
              <w:bottom w:val="single" w:color="auto" w:sz="4" w:space="0"/>
              <w:right w:val="single" w:color="auto" w:sz="4" w:space="0"/>
            </w:tcBorders>
            <w:vAlign w:val="center"/>
          </w:tcPr>
          <w:p>
            <w:pPr>
              <w:widowControl/>
              <w:snapToGrid w:val="0"/>
              <w:spacing w:line="312"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专业大类月收入</w:t>
            </w:r>
          </w:p>
        </w:tc>
        <w:tc>
          <w:tcPr>
            <w:tcW w:w="698"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元</w:t>
            </w:r>
          </w:p>
        </w:tc>
        <w:tc>
          <w:tcPr>
            <w:tcW w:w="1196"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c>
          <w:tcPr>
            <w:tcW w:w="1184" w:type="dxa"/>
            <w:tcBorders>
              <w:top w:val="nil"/>
              <w:left w:val="nil"/>
              <w:bottom w:val="single" w:color="auto" w:sz="4" w:space="0"/>
              <w:right w:val="single" w:color="auto" w:sz="4" w:space="0"/>
            </w:tcBorders>
            <w:vAlign w:val="center"/>
          </w:tcPr>
          <w:p>
            <w:pPr>
              <w:widowControl/>
              <w:snapToGrid w:val="0"/>
              <w:spacing w:line="312" w:lineRule="auto"/>
              <w:jc w:val="center"/>
              <w:rPr>
                <w:rFonts w:ascii="仿宋_GB2312" w:hAnsi="宋体" w:eastAsia="仿宋_GB2312" w:cs="宋体"/>
                <w:color w:val="000000"/>
                <w:kern w:val="0"/>
                <w:sz w:val="24"/>
                <w:szCs w:val="24"/>
              </w:rPr>
            </w:pPr>
          </w:p>
        </w:tc>
      </w:tr>
    </w:tbl>
    <w:p>
      <w:pPr>
        <w:widowControl/>
        <w:snapToGrid w:val="0"/>
        <w:spacing w:line="560" w:lineRule="exact"/>
        <w:jc w:val="left"/>
        <w:rPr>
          <w:rFonts w:ascii="仿宋_GB2312" w:hAnsi="宋体" w:eastAsia="仿宋_GB2312" w:cs="宋体"/>
          <w:color w:val="000000"/>
          <w:kern w:val="0"/>
          <w:sz w:val="32"/>
          <w:szCs w:val="32"/>
          <w:shd w:val="clear" w:color="auto" w:fill="FFFFFF"/>
        </w:rPr>
      </w:pPr>
    </w:p>
    <w:p>
      <w:pPr>
        <w:widowControl/>
        <w:snapToGrid w:val="0"/>
        <w:spacing w:line="560" w:lineRule="exact"/>
        <w:jc w:val="left"/>
        <w:rPr>
          <w:rFonts w:ascii="仿宋_GB2312" w:hAnsi="黑体" w:eastAsia="仿宋_GB2312" w:cs="宋体"/>
          <w:color w:val="000000"/>
          <w:kern w:val="0"/>
          <w:sz w:val="32"/>
          <w:szCs w:val="32"/>
        </w:rPr>
      </w:pPr>
      <w:r>
        <w:rPr>
          <w:rFonts w:ascii="仿宋_GB2312" w:hAnsi="宋体" w:eastAsia="仿宋_GB2312" w:cs="宋体"/>
          <w:color w:val="000000"/>
          <w:kern w:val="0"/>
          <w:sz w:val="32"/>
          <w:szCs w:val="32"/>
          <w:shd w:val="clear" w:color="auto" w:fill="FFFFFF"/>
        </w:rPr>
        <w:br w:type="page"/>
      </w:r>
      <w:r>
        <w:rPr>
          <w:rFonts w:hint="eastAsia" w:ascii="仿宋_GB2312" w:hAnsi="黑体" w:eastAsia="仿宋_GB2312"/>
          <w:color w:val="000000"/>
          <w:kern w:val="0"/>
          <w:sz w:val="32"/>
          <w:szCs w:val="32"/>
        </w:rPr>
        <w:t>附件2</w:t>
      </w:r>
    </w:p>
    <w:p>
      <w:pPr>
        <w:snapToGrid w:val="0"/>
        <w:spacing w:afterLines="50" w:line="312" w:lineRule="auto"/>
        <w:ind w:firstLine="1440" w:firstLineChars="400"/>
        <w:outlineLvl w:val="0"/>
        <w:rPr>
          <w:rFonts w:ascii="方正小标宋简体" w:hAnsi="Times New Roman" w:eastAsia="方正小标宋简体" w:cs="宋体"/>
          <w:color w:val="000000"/>
          <w:kern w:val="0"/>
          <w:sz w:val="36"/>
          <w:szCs w:val="36"/>
        </w:rPr>
      </w:pPr>
      <w:r>
        <w:rPr>
          <w:rFonts w:hint="eastAsia" w:ascii="方正小标宋简体" w:hAnsi="Times New Roman" w:eastAsia="方正小标宋简体" w:cs="宋体"/>
          <w:color w:val="000000"/>
          <w:kern w:val="0"/>
          <w:sz w:val="36"/>
          <w:szCs w:val="36"/>
        </w:rPr>
        <w:t>“资源表”指标及相关内涵说明</w:t>
      </w:r>
    </w:p>
    <w:p>
      <w:pPr>
        <w:snapToGrid w:val="0"/>
        <w:spacing w:line="520" w:lineRule="exact"/>
        <w:ind w:firstLine="640" w:firstLineChars="200"/>
        <w:rPr>
          <w:rFonts w:ascii="仿宋_GB2312" w:hAnsi="宋体" w:eastAsia="仿宋_GB2312"/>
          <w:sz w:val="32"/>
          <w:szCs w:val="32"/>
        </w:rPr>
      </w:pPr>
      <w:r>
        <w:rPr>
          <w:rFonts w:hint="eastAsia" w:ascii="仿宋_GB2312" w:eastAsia="仿宋_GB2312"/>
          <w:color w:val="000000"/>
          <w:sz w:val="32"/>
          <w:szCs w:val="32"/>
        </w:rPr>
        <w:t>“资源表”系</w:t>
      </w:r>
      <w:r>
        <w:rPr>
          <w:rFonts w:hint="eastAsia" w:ascii="仿宋_GB2312" w:eastAsia="仿宋_GB2312"/>
          <w:sz w:val="32"/>
          <w:szCs w:val="32"/>
        </w:rPr>
        <w:t>反映高职院校基本办学条件的管理评价工具</w:t>
      </w:r>
      <w:r>
        <w:rPr>
          <w:rFonts w:hint="eastAsia" w:ascii="仿宋_GB2312" w:hAnsi="宋体" w:eastAsia="仿宋_GB2312"/>
          <w:sz w:val="32"/>
          <w:szCs w:val="32"/>
        </w:rPr>
        <w:t>。</w:t>
      </w:r>
    </w:p>
    <w:p>
      <w:pPr>
        <w:widowControl/>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1.“生师比”=在校生数/教师总数</w:t>
      </w:r>
    </w:p>
    <w:p>
      <w:pPr>
        <w:widowControl/>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2.“双师素质专任教师比例”=双师素质专任教师人数/专任教师数</w:t>
      </w:r>
    </w:p>
    <w:p>
      <w:pPr>
        <w:widowControl/>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3.“专任教师人均企业实践时间”=校内专任教师行业企业一线工作时间总数/专任教师数</w:t>
      </w:r>
    </w:p>
    <w:p>
      <w:pPr>
        <w:widowControl/>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企业兼职教师专业课课时占比”=企业兼职教师承担的专业课课时总数/专业课课时总数。“高等职业院校人才培养工作状态数据”中的课程分为“纯理论课”（A类）、“实践+理论课”（B类）和“纯实践课”（C类）三种，此处的专业课课时为“纯实践课”（C类）课时与“实践+理论课”（B类）课时之和。</w:t>
      </w:r>
    </w:p>
    <w:p>
      <w:pPr>
        <w:widowControl/>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生均教学科研仪器设备值”=教学科研仪器设备值/在校生数。学校在公布“生均教学科研仪器设备值”时，请以注释的形式注明学校类别：综合、师范、民族类院校，工科类院校，农林类院校，医学类院校，财经、政法类院校以及体育、艺术类院校等。</w:t>
      </w:r>
    </w:p>
    <w:p>
      <w:pPr>
        <w:widowControl/>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6.“生均校内实践教学工位数”=校内实践教学工位总数/在校生数。其中，工位数以“高等职业院校人才培养工作状态数据”填报数为准。</w:t>
      </w:r>
    </w:p>
    <w:p>
      <w:pPr>
        <w:widowControl/>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7.“生均校外实习实训基地实习时间”=校外实习实训基地使用时间总数/在校生数</w:t>
      </w:r>
    </w:p>
    <w:p>
      <w:pPr>
        <w:widowControl/>
        <w:snapToGrid w:val="0"/>
        <w:spacing w:line="520" w:lineRule="exact"/>
        <w:ind w:firstLine="640" w:firstLineChars="200"/>
        <w:rPr>
          <w:rFonts w:ascii="仿宋_GB2312" w:hAnsi="宋体" w:eastAsia="仿宋_GB2312" w:cs="宋体"/>
          <w:color w:val="000000"/>
          <w:kern w:val="0"/>
          <w:sz w:val="32"/>
          <w:szCs w:val="32"/>
        </w:rPr>
      </w:pPr>
    </w:p>
    <w:p>
      <w:pPr>
        <w:widowControl/>
        <w:snapToGrid w:val="0"/>
        <w:spacing w:line="312" w:lineRule="auto"/>
        <w:jc w:val="center"/>
        <w:rPr>
          <w:rFonts w:ascii="黑体" w:hAnsi="黑体" w:eastAsia="黑体"/>
          <w:sz w:val="32"/>
          <w:szCs w:val="32"/>
        </w:rPr>
      </w:pPr>
      <w:r>
        <w:rPr>
          <w:rFonts w:hint="eastAsia" w:ascii="黑体" w:hAnsi="黑体" w:eastAsia="黑体"/>
          <w:sz w:val="32"/>
          <w:szCs w:val="32"/>
        </w:rPr>
        <w:t>表2 资源表</w:t>
      </w:r>
    </w:p>
    <w:tbl>
      <w:tblPr>
        <w:tblStyle w:val="8"/>
        <w:tblW w:w="88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56"/>
        <w:gridCol w:w="869"/>
        <w:gridCol w:w="436"/>
        <w:gridCol w:w="3599"/>
        <w:gridCol w:w="1078"/>
        <w:gridCol w:w="1051"/>
        <w:gridCol w:w="1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8" w:hRule="atLeast"/>
        </w:trPr>
        <w:tc>
          <w:tcPr>
            <w:tcW w:w="7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院校代码</w:t>
            </w:r>
          </w:p>
        </w:tc>
        <w:tc>
          <w:tcPr>
            <w:tcW w:w="86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院校名称</w:t>
            </w:r>
          </w:p>
        </w:tc>
        <w:tc>
          <w:tcPr>
            <w:tcW w:w="4035"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指标</w:t>
            </w:r>
          </w:p>
        </w:tc>
        <w:tc>
          <w:tcPr>
            <w:tcW w:w="107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10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2014年</w:t>
            </w:r>
          </w:p>
        </w:tc>
        <w:tc>
          <w:tcPr>
            <w:tcW w:w="10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8" w:hRule="atLeast"/>
        </w:trPr>
        <w:tc>
          <w:tcPr>
            <w:tcW w:w="756" w:type="dxa"/>
            <w:vMerge w:val="restart"/>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69" w:type="dxa"/>
            <w:vMerge w:val="restart"/>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359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生师比</w:t>
            </w:r>
          </w:p>
        </w:tc>
        <w:tc>
          <w:tcPr>
            <w:tcW w:w="10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8" w:hRule="atLeast"/>
        </w:trPr>
        <w:tc>
          <w:tcPr>
            <w:tcW w:w="75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6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359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双师素质专任教师比例</w:t>
            </w:r>
          </w:p>
        </w:tc>
        <w:tc>
          <w:tcPr>
            <w:tcW w:w="10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8" w:hRule="atLeast"/>
        </w:trPr>
        <w:tc>
          <w:tcPr>
            <w:tcW w:w="75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6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359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专任教师人均企业实践时间</w:t>
            </w:r>
          </w:p>
        </w:tc>
        <w:tc>
          <w:tcPr>
            <w:tcW w:w="10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天</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8" w:hRule="atLeast"/>
        </w:trPr>
        <w:tc>
          <w:tcPr>
            <w:tcW w:w="75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6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359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企业兼职教师专业课课时占比</w:t>
            </w:r>
          </w:p>
        </w:tc>
        <w:tc>
          <w:tcPr>
            <w:tcW w:w="10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8" w:hRule="atLeast"/>
        </w:trPr>
        <w:tc>
          <w:tcPr>
            <w:tcW w:w="75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6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359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生均教学科研仪器设备值</w:t>
            </w:r>
          </w:p>
        </w:tc>
        <w:tc>
          <w:tcPr>
            <w:tcW w:w="10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元/生</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8" w:hRule="atLeast"/>
        </w:trPr>
        <w:tc>
          <w:tcPr>
            <w:tcW w:w="75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6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359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生均校内实践教学工位数</w:t>
            </w:r>
          </w:p>
        </w:tc>
        <w:tc>
          <w:tcPr>
            <w:tcW w:w="10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个/生</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8" w:hRule="atLeast"/>
        </w:trPr>
        <w:tc>
          <w:tcPr>
            <w:tcW w:w="75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6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359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生均校外实习实训基地实习时间</w:t>
            </w:r>
          </w:p>
        </w:tc>
        <w:tc>
          <w:tcPr>
            <w:tcW w:w="10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天/生</w:t>
            </w:r>
          </w:p>
        </w:tc>
        <w:tc>
          <w:tcPr>
            <w:tcW w:w="1051" w:type="dxa"/>
            <w:tcBorders>
              <w:top w:val="nil"/>
              <w:left w:val="nil"/>
              <w:bottom w:val="single" w:color="auto" w:sz="4" w:space="0"/>
              <w:right w:val="single" w:color="auto" w:sz="4" w:space="0"/>
            </w:tcBorders>
            <w:shd w:val="clear" w:color="000000" w:fill="FFFFFF"/>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5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bl>
    <w:p>
      <w:pPr>
        <w:widowControl/>
        <w:snapToGrid w:val="0"/>
        <w:spacing w:line="312" w:lineRule="auto"/>
        <w:jc w:val="center"/>
        <w:rPr>
          <w:rFonts w:ascii="黑体" w:hAnsi="黑体" w:eastAsia="黑体"/>
          <w:sz w:val="32"/>
          <w:szCs w:val="32"/>
        </w:rPr>
      </w:pPr>
    </w:p>
    <w:p>
      <w:pPr>
        <w:rPr>
          <w:rFonts w:ascii="仿宋_GB2312" w:eastAsia="仿宋_GB2312"/>
          <w:sz w:val="32"/>
          <w:szCs w:val="32"/>
        </w:rPr>
      </w:pPr>
      <w:r>
        <w:rPr>
          <w:rFonts w:ascii="仿宋_GB2312" w:hAnsi="宋体" w:eastAsia="仿宋_GB2312" w:cs="宋体"/>
          <w:color w:val="000000"/>
          <w:kern w:val="0"/>
          <w:sz w:val="29"/>
          <w:szCs w:val="29"/>
        </w:rPr>
        <w:br w:type="page"/>
      </w:r>
      <w:r>
        <w:rPr>
          <w:rFonts w:hint="eastAsia" w:ascii="仿宋_GB2312" w:eastAsia="仿宋_GB2312"/>
          <w:sz w:val="32"/>
          <w:szCs w:val="32"/>
        </w:rPr>
        <w:t>附件3</w:t>
      </w:r>
    </w:p>
    <w:p>
      <w:pPr>
        <w:snapToGrid w:val="0"/>
        <w:spacing w:afterLines="50"/>
        <w:ind w:firstLine="1440" w:firstLineChars="400"/>
        <w:outlineLvl w:val="0"/>
        <w:rPr>
          <w:rFonts w:ascii="方正小标宋简体" w:hAnsi="Times New Roman" w:eastAsia="方正小标宋简体" w:cs="宋体"/>
          <w:color w:val="000000"/>
          <w:kern w:val="0"/>
          <w:sz w:val="36"/>
          <w:szCs w:val="36"/>
        </w:rPr>
      </w:pPr>
      <w:r>
        <w:rPr>
          <w:rFonts w:hint="eastAsia" w:ascii="方正小标宋简体" w:hAnsi="Times New Roman" w:eastAsia="方正小标宋简体" w:cs="宋体"/>
          <w:color w:val="000000"/>
          <w:kern w:val="0"/>
          <w:sz w:val="36"/>
          <w:szCs w:val="36"/>
        </w:rPr>
        <w:t>“服务贡献表”指标及相关内涵说明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“服务贡献表”系反映高职院校服务地方和行业发展的管理评价工具。</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毕业生就业去向分为三类：A类是毕业生留在当地（公办学校：如省级财政投入经费的以省域为“当地”，地级财政投入经费以地级市域为“当地”，以此类推；民办学校：以学校所在地为“当地”，如有异地校区则分别统计）就业的比例；B类是毕业生到中小微企业（具体标准参见《关于印发中小企业划型标准规定的通知》（工信部联企业〔2011〕300号））服务的比例；C类是学校毕业生到国家骨干企业（主要指中央企业和行业龙头企业）就业的比例。各高职院校根据实际需分别填写以上三类，总和不受100%约束。各地在本省质量年报中可汇总分析本省高职院校三个类别的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2.“横向技术服务到款额”指为行业企业提供科研、培训等技术服务已到账的收入。</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3.“纵向科研经费到款额”指政府有关部门计划委托项目已到账的收入。</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4.“技术交易到款额”指技术转让及技术许可中已经到账的收入。</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5.“非学历培训到款额”指为社会进行的非学历性培训已到账的收入。</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6.“公益性培训服务”指为社会进行的免费培训的规模。</w:t>
      </w:r>
    </w:p>
    <w:p>
      <w:pPr>
        <w:spacing w:line="520" w:lineRule="exact"/>
        <w:ind w:firstLine="640" w:firstLineChars="200"/>
        <w:rPr>
          <w:rFonts w:ascii="仿宋_GB2312" w:eastAsia="仿宋_GB2312"/>
          <w:sz w:val="32"/>
          <w:szCs w:val="32"/>
        </w:rPr>
      </w:pPr>
      <w:r>
        <w:rPr>
          <w:rFonts w:ascii="仿宋_GB2312" w:eastAsia="仿宋_GB2312"/>
          <w:sz w:val="32"/>
          <w:szCs w:val="32"/>
        </w:rPr>
        <w:br w:type="page"/>
      </w:r>
    </w:p>
    <w:p>
      <w:pPr>
        <w:widowControl/>
        <w:snapToGrid w:val="0"/>
        <w:spacing w:line="312" w:lineRule="auto"/>
        <w:jc w:val="center"/>
        <w:rPr>
          <w:rFonts w:ascii="黑体" w:hAnsi="黑体" w:eastAsia="黑体"/>
          <w:sz w:val="32"/>
          <w:szCs w:val="32"/>
        </w:rPr>
      </w:pPr>
      <w:r>
        <w:rPr>
          <w:rFonts w:hint="eastAsia" w:ascii="黑体" w:hAnsi="黑体" w:eastAsia="黑体"/>
          <w:sz w:val="32"/>
          <w:szCs w:val="32"/>
        </w:rPr>
        <w:t>表3 服务贡献表</w:t>
      </w:r>
    </w:p>
    <w:tbl>
      <w:tblPr>
        <w:tblStyle w:val="8"/>
        <w:tblW w:w="89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97"/>
        <w:gridCol w:w="838"/>
        <w:gridCol w:w="365"/>
        <w:gridCol w:w="4154"/>
        <w:gridCol w:w="803"/>
        <w:gridCol w:w="984"/>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jc w:val="center"/>
        </w:trPr>
        <w:tc>
          <w:tcPr>
            <w:tcW w:w="7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院校代码</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院校名称</w:t>
            </w:r>
          </w:p>
        </w:tc>
        <w:tc>
          <w:tcPr>
            <w:tcW w:w="451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指标</w:t>
            </w:r>
          </w:p>
        </w:tc>
        <w:tc>
          <w:tcPr>
            <w:tcW w:w="80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98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2014年</w:t>
            </w:r>
          </w:p>
        </w:tc>
        <w:tc>
          <w:tcPr>
            <w:tcW w:w="9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jc w:val="center"/>
        </w:trPr>
        <w:tc>
          <w:tcPr>
            <w:tcW w:w="797" w:type="dxa"/>
            <w:vMerge w:val="restart"/>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38" w:type="dxa"/>
            <w:vMerge w:val="restart"/>
            <w:tcBorders>
              <w:top w:val="nil"/>
              <w:left w:val="single" w:color="auto" w:sz="4" w:space="0"/>
              <w:bottom w:val="single" w:color="auto" w:sz="4" w:space="0"/>
              <w:right w:val="single" w:color="auto" w:sz="4" w:space="0"/>
            </w:tcBorders>
            <w:shd w:val="clear" w:color="000000" w:fill="FFFFFF"/>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36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毕业生人数（合计）</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w:t>
            </w:r>
          </w:p>
        </w:tc>
        <w:tc>
          <w:tcPr>
            <w:tcW w:w="984" w:type="dxa"/>
            <w:tcBorders>
              <w:top w:val="nil"/>
              <w:left w:val="nil"/>
              <w:bottom w:val="single" w:color="auto" w:sz="4" w:space="0"/>
              <w:right w:val="single" w:color="auto" w:sz="4" w:space="0"/>
            </w:tcBorders>
            <w:shd w:val="clear" w:color="000000" w:fill="FFFFFF"/>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85" w:type="dxa"/>
            <w:tcBorders>
              <w:top w:val="nil"/>
              <w:left w:val="nil"/>
              <w:bottom w:val="single" w:color="auto" w:sz="4" w:space="0"/>
              <w:right w:val="single" w:color="auto" w:sz="4" w:space="0"/>
            </w:tcBorders>
            <w:shd w:val="clear" w:color="000000" w:fill="FFFFFF"/>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3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其中：就业人数（合计）</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w:t>
            </w:r>
          </w:p>
        </w:tc>
        <w:tc>
          <w:tcPr>
            <w:tcW w:w="98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3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毕业生就业去向（以下三类都填，总和不受100%约束）：</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98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3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A类:留在当地就业比例</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98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3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B类:到中小微企业等基层服务比例</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98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3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C类:到国家骨干企业就业比例</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98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36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横向技术服务到款额</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万元</w:t>
            </w:r>
          </w:p>
        </w:tc>
        <w:tc>
          <w:tcPr>
            <w:tcW w:w="98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36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纵向科研经费到款额</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万元</w:t>
            </w:r>
          </w:p>
        </w:tc>
        <w:tc>
          <w:tcPr>
            <w:tcW w:w="98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36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技术交易到款额</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万元</w:t>
            </w:r>
          </w:p>
        </w:tc>
        <w:tc>
          <w:tcPr>
            <w:tcW w:w="98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36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非学历培训到款额</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万元</w:t>
            </w:r>
          </w:p>
        </w:tc>
        <w:tc>
          <w:tcPr>
            <w:tcW w:w="98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jc w:val="center"/>
        </w:trPr>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36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415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公益性培训服务</w:t>
            </w:r>
          </w:p>
        </w:tc>
        <w:tc>
          <w:tcPr>
            <w:tcW w:w="80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人日</w:t>
            </w:r>
          </w:p>
        </w:tc>
        <w:tc>
          <w:tcPr>
            <w:tcW w:w="98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40" w:hRule="atLeast"/>
          <w:jc w:val="center"/>
        </w:trPr>
        <w:tc>
          <w:tcPr>
            <w:tcW w:w="79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7291" w:type="dxa"/>
            <w:gridSpan w:val="5"/>
            <w:tcBorders>
              <w:top w:val="single" w:color="auto" w:sz="4" w:space="0"/>
              <w:left w:val="nil"/>
              <w:bottom w:val="single" w:color="auto" w:sz="4" w:space="0"/>
              <w:right w:val="single" w:color="000000" w:sz="4" w:space="0"/>
            </w:tcBorders>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主要办学经费来源（单选）：省      级（  ）    地市级（  ）</w:t>
            </w:r>
          </w:p>
          <w:p>
            <w:pPr>
              <w:widowControl/>
              <w:ind w:firstLine="3120" w:firstLineChars="13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行业或企业（  ）    其  他（  ）</w:t>
            </w:r>
          </w:p>
        </w:tc>
      </w:tr>
    </w:tbl>
    <w:p>
      <w:pPr>
        <w:rPr>
          <w:rFonts w:ascii="仿宋_GB2312" w:hAnsi="宋体" w:eastAsia="仿宋_GB2312" w:cs="宋体"/>
          <w:color w:val="000000"/>
          <w:kern w:val="0"/>
          <w:sz w:val="32"/>
          <w:szCs w:val="32"/>
          <w:shd w:val="clear" w:color="auto" w:fill="FFFFFF"/>
        </w:rPr>
      </w:pPr>
    </w:p>
    <w:p>
      <w:pPr>
        <w:rPr>
          <w:rFonts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附件4</w:t>
      </w:r>
    </w:p>
    <w:p>
      <w:pPr>
        <w:snapToGrid w:val="0"/>
        <w:spacing w:afterLines="50"/>
        <w:ind w:firstLine="1440" w:firstLineChars="400"/>
        <w:outlineLvl w:val="0"/>
        <w:rPr>
          <w:rFonts w:ascii="方正小标宋简体" w:hAnsi="Times New Roman" w:eastAsia="方正小标宋简体" w:cs="宋体"/>
          <w:color w:val="000000"/>
          <w:kern w:val="0"/>
          <w:sz w:val="36"/>
          <w:szCs w:val="36"/>
        </w:rPr>
      </w:pPr>
      <w:r>
        <w:rPr>
          <w:rFonts w:hint="eastAsia" w:ascii="方正小标宋简体" w:hAnsi="Times New Roman" w:eastAsia="方正小标宋简体" w:cs="宋体"/>
          <w:color w:val="000000"/>
          <w:kern w:val="0"/>
          <w:sz w:val="36"/>
          <w:szCs w:val="36"/>
        </w:rPr>
        <w:t>“落实政策表”指标及相关内涵说明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“落实政策表”系通过院校数据反映政府落实国家发展高职教育政策情况的管理评价工具。</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1.“年生均财政拨款水平”：按照《财政部 教育部关于建立完善以改革和绩效为导向的生均拨款制度加快发展现代高等职业教育的意见》（财教〔2014〕352号）要求，“年生均财政拨款水平”是指政府收支分类科目“2050305高等职业教育”中，地方财政通过一般公共预算安排用于支持高职院校发展的经费，按全日制高等职业学历教育在校生人数折算的平均水平，包括基本支出和项目支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2.“年生均财政专项经费”是指“年生均财政拨款水平”中的专项经费支出。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3.“教职员工额定编制数”指人力资源保障部门核定的学校教职工编制数；“在岗教职员工总数”指学校在编在岗教职员工和编外聘用的教学、科研和行政岗位人员总数（不含编外聘用的工勤人员）。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4.“生均企业实习财政经费补贴”指用于补贴学生企业实习的财政专项经费(补贴给学生个人或企业),按照实习学生人数折算的平均水平。如果没有单列财政专项则不填。</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5.“生均企业实习责任保险补贴”指用于补贴学生企业实习责任保险的财政教育经费，按照实习学生人数折算的平均水平。</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6.“企业兼职教师人均财政补贴”指用于支付企业兼职教师补贴的财政专项经费，按照企业兼职教师人数折算的平均水平。如没有单列财政专项经费则不填。</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7.“专任教师参加省级培训量”指学校专任教师参加的省级财政负担的培训项目的总量。</w:t>
      </w:r>
    </w:p>
    <w:p>
      <w:pPr>
        <w:spacing w:line="520" w:lineRule="exact"/>
        <w:ind w:firstLine="640" w:firstLineChars="200"/>
        <w:rPr>
          <w:rFonts w:ascii="仿宋_GB2312" w:eastAsia="仿宋_GB2312"/>
          <w:sz w:val="32"/>
          <w:szCs w:val="32"/>
        </w:rPr>
      </w:pPr>
    </w:p>
    <w:p>
      <w:pPr>
        <w:widowControl/>
        <w:snapToGrid w:val="0"/>
        <w:spacing w:line="312" w:lineRule="auto"/>
        <w:jc w:val="center"/>
        <w:rPr>
          <w:rFonts w:ascii="黑体" w:hAnsi="黑体" w:eastAsia="黑体"/>
          <w:sz w:val="32"/>
          <w:szCs w:val="32"/>
        </w:rPr>
      </w:pPr>
      <w:r>
        <w:rPr>
          <w:rFonts w:hint="eastAsia" w:ascii="黑体" w:hAnsi="黑体" w:eastAsia="黑体"/>
          <w:sz w:val="32"/>
          <w:szCs w:val="32"/>
        </w:rPr>
        <w:t>表4 落实政策表</w:t>
      </w:r>
    </w:p>
    <w:tbl>
      <w:tblPr>
        <w:tblStyle w:val="8"/>
        <w:tblW w:w="88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93"/>
        <w:gridCol w:w="871"/>
        <w:gridCol w:w="329"/>
        <w:gridCol w:w="3824"/>
        <w:gridCol w:w="1034"/>
        <w:gridCol w:w="972"/>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0" w:hRule="atLeast"/>
          <w:jc w:val="center"/>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76"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院校代码</w:t>
            </w:r>
          </w:p>
        </w:tc>
        <w:tc>
          <w:tcPr>
            <w:tcW w:w="871" w:type="dxa"/>
            <w:tcBorders>
              <w:top w:val="single" w:color="auto" w:sz="4" w:space="0"/>
              <w:left w:val="nil"/>
              <w:bottom w:val="single" w:color="auto" w:sz="4" w:space="0"/>
              <w:right w:val="single" w:color="auto" w:sz="4" w:space="0"/>
            </w:tcBorders>
            <w:shd w:val="clear" w:color="000000" w:fill="FFFFFF"/>
            <w:vAlign w:val="center"/>
          </w:tcPr>
          <w:p>
            <w:pPr>
              <w:widowControl/>
              <w:spacing w:line="276"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院校名称</w:t>
            </w:r>
          </w:p>
        </w:tc>
        <w:tc>
          <w:tcPr>
            <w:tcW w:w="4153"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指标</w:t>
            </w:r>
          </w:p>
        </w:tc>
        <w:tc>
          <w:tcPr>
            <w:tcW w:w="1034"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972"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2014年</w:t>
            </w:r>
          </w:p>
        </w:tc>
        <w:tc>
          <w:tcPr>
            <w:tcW w:w="1061"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jc w:val="center"/>
        </w:trPr>
        <w:tc>
          <w:tcPr>
            <w:tcW w:w="793" w:type="dxa"/>
            <w:vMerge w:val="restart"/>
            <w:tcBorders>
              <w:top w:val="nil"/>
              <w:left w:val="single" w:color="auto" w:sz="4" w:space="0"/>
              <w:bottom w:val="single" w:color="auto" w:sz="4" w:space="0"/>
              <w:right w:val="single" w:color="auto" w:sz="4" w:space="0"/>
            </w:tcBorders>
            <w:shd w:val="clear" w:color="000000" w:fill="FFFFFF"/>
            <w:vAlign w:val="bottom"/>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1" w:type="dxa"/>
            <w:vMerge w:val="restart"/>
            <w:tcBorders>
              <w:top w:val="nil"/>
              <w:left w:val="single" w:color="auto" w:sz="4" w:space="0"/>
              <w:bottom w:val="single" w:color="auto" w:sz="4" w:space="0"/>
              <w:right w:val="single" w:color="auto" w:sz="4" w:space="0"/>
            </w:tcBorders>
            <w:shd w:val="clear" w:color="000000" w:fill="FFFFFF"/>
            <w:vAlign w:val="bottom"/>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329"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3824"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年生均财政拨款水平</w:t>
            </w:r>
          </w:p>
        </w:tc>
        <w:tc>
          <w:tcPr>
            <w:tcW w:w="103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元</w:t>
            </w:r>
          </w:p>
        </w:tc>
        <w:tc>
          <w:tcPr>
            <w:tcW w:w="972"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1"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jc w:val="center"/>
        </w:trPr>
        <w:tc>
          <w:tcPr>
            <w:tcW w:w="79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8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329"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3824"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其中：年生均财政专项经费</w:t>
            </w:r>
          </w:p>
        </w:tc>
        <w:tc>
          <w:tcPr>
            <w:tcW w:w="103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元</w:t>
            </w:r>
          </w:p>
        </w:tc>
        <w:tc>
          <w:tcPr>
            <w:tcW w:w="972"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1"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jc w:val="center"/>
        </w:trPr>
        <w:tc>
          <w:tcPr>
            <w:tcW w:w="79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8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32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3824"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教职员工额定编制数</w:t>
            </w:r>
          </w:p>
        </w:tc>
        <w:tc>
          <w:tcPr>
            <w:tcW w:w="103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w:t>
            </w:r>
          </w:p>
        </w:tc>
        <w:tc>
          <w:tcPr>
            <w:tcW w:w="972"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1"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0" w:hRule="atLeast"/>
          <w:jc w:val="center"/>
        </w:trPr>
        <w:tc>
          <w:tcPr>
            <w:tcW w:w="79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8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32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3824" w:type="dxa"/>
            <w:tcBorders>
              <w:top w:val="nil"/>
              <w:left w:val="nil"/>
              <w:bottom w:val="single" w:color="auto" w:sz="4" w:space="0"/>
              <w:right w:val="single" w:color="auto" w:sz="4" w:space="0"/>
            </w:tcBorders>
            <w:shd w:val="clear" w:color="000000" w:fill="FFFFFF"/>
            <w:vAlign w:val="center"/>
          </w:tcPr>
          <w:p>
            <w:pPr>
              <w:widowControl/>
              <w:spacing w:line="360" w:lineRule="auto"/>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在岗教职员工总数</w:t>
            </w:r>
          </w:p>
        </w:tc>
        <w:tc>
          <w:tcPr>
            <w:tcW w:w="103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w:t>
            </w:r>
          </w:p>
        </w:tc>
        <w:tc>
          <w:tcPr>
            <w:tcW w:w="972"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1"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jc w:val="center"/>
        </w:trPr>
        <w:tc>
          <w:tcPr>
            <w:tcW w:w="79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8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329"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3824"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生均实习企业财政经费补贴</w:t>
            </w:r>
          </w:p>
        </w:tc>
        <w:tc>
          <w:tcPr>
            <w:tcW w:w="103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元/月</w:t>
            </w:r>
          </w:p>
        </w:tc>
        <w:tc>
          <w:tcPr>
            <w:tcW w:w="972"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1"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jc w:val="center"/>
        </w:trPr>
        <w:tc>
          <w:tcPr>
            <w:tcW w:w="79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8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329"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3824"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生均企业实习责任保险补贴</w:t>
            </w:r>
          </w:p>
        </w:tc>
        <w:tc>
          <w:tcPr>
            <w:tcW w:w="103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元</w:t>
            </w:r>
          </w:p>
        </w:tc>
        <w:tc>
          <w:tcPr>
            <w:tcW w:w="972"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1"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0" w:hRule="atLeast"/>
          <w:jc w:val="center"/>
        </w:trPr>
        <w:tc>
          <w:tcPr>
            <w:tcW w:w="79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8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329"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3824"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企业兼职教师人均财政补贴</w:t>
            </w:r>
          </w:p>
        </w:tc>
        <w:tc>
          <w:tcPr>
            <w:tcW w:w="103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元</w:t>
            </w:r>
          </w:p>
        </w:tc>
        <w:tc>
          <w:tcPr>
            <w:tcW w:w="972"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1"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jc w:val="center"/>
        </w:trPr>
        <w:tc>
          <w:tcPr>
            <w:tcW w:w="79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8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32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3824"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专任教师总数</w:t>
            </w:r>
          </w:p>
        </w:tc>
        <w:tc>
          <w:tcPr>
            <w:tcW w:w="103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w:t>
            </w:r>
          </w:p>
        </w:tc>
        <w:tc>
          <w:tcPr>
            <w:tcW w:w="972"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1"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0" w:hRule="atLeast"/>
          <w:jc w:val="center"/>
        </w:trPr>
        <w:tc>
          <w:tcPr>
            <w:tcW w:w="79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8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32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360" w:lineRule="auto"/>
              <w:jc w:val="left"/>
              <w:rPr>
                <w:rFonts w:ascii="仿宋" w:hAnsi="仿宋" w:eastAsia="仿宋" w:cs="宋体"/>
                <w:color w:val="000000"/>
                <w:kern w:val="0"/>
                <w:sz w:val="24"/>
                <w:szCs w:val="24"/>
              </w:rPr>
            </w:pPr>
          </w:p>
        </w:tc>
        <w:tc>
          <w:tcPr>
            <w:tcW w:w="3824"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专任教师参加省级培训量</w:t>
            </w:r>
          </w:p>
        </w:tc>
        <w:tc>
          <w:tcPr>
            <w:tcW w:w="103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人日</w:t>
            </w:r>
          </w:p>
        </w:tc>
        <w:tc>
          <w:tcPr>
            <w:tcW w:w="972"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1"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bl>
    <w:p>
      <w:pPr>
        <w:widowControl/>
        <w:snapToGrid w:val="0"/>
        <w:spacing w:line="520" w:lineRule="exact"/>
        <w:ind w:firstLine="420" w:firstLineChars="200"/>
        <w:rPr>
          <w:rFonts w:ascii="楷体" w:hAnsi="楷体" w:eastAsia="楷体"/>
          <w:b/>
          <w:color w:val="FF0000"/>
          <w:szCs w:val="21"/>
        </w:rPr>
      </w:pPr>
    </w:p>
    <w:p>
      <w:pPr>
        <w:widowControl/>
        <w:snapToGrid w:val="0"/>
        <w:spacing w:line="520" w:lineRule="exact"/>
        <w:rPr>
          <w:rFonts w:ascii="仿宋_GB2312" w:eastAsia="仿宋_GB2312"/>
          <w:sz w:val="32"/>
          <w:szCs w:val="32"/>
        </w:rPr>
      </w:pPr>
      <w:r>
        <w:rPr>
          <w:rFonts w:ascii="楷体" w:hAnsi="楷体" w:eastAsia="楷体"/>
          <w:b/>
          <w:color w:val="FF0000"/>
          <w:szCs w:val="21"/>
        </w:rPr>
        <w:br w:type="page"/>
      </w:r>
      <w:r>
        <w:rPr>
          <w:rFonts w:hint="eastAsia" w:ascii="仿宋_GB2312" w:eastAsia="仿宋_GB2312"/>
          <w:sz w:val="32"/>
          <w:szCs w:val="32"/>
        </w:rPr>
        <w:t>附件5</w:t>
      </w:r>
    </w:p>
    <w:p>
      <w:pPr>
        <w:snapToGrid w:val="0"/>
        <w:spacing w:afterLines="50"/>
        <w:jc w:val="center"/>
        <w:outlineLvl w:val="0"/>
        <w:rPr>
          <w:rFonts w:ascii="方正小标宋简体" w:hAnsi="Times New Roman" w:eastAsia="方正小标宋简体" w:cs="宋体"/>
          <w:color w:val="000000"/>
          <w:kern w:val="0"/>
          <w:sz w:val="36"/>
          <w:szCs w:val="36"/>
        </w:rPr>
      </w:pPr>
      <w:r>
        <w:rPr>
          <w:rFonts w:hint="eastAsia" w:ascii="方正小标宋简体" w:hAnsi="Times New Roman" w:eastAsia="方正小标宋简体" w:cs="宋体"/>
          <w:color w:val="000000"/>
          <w:kern w:val="0"/>
          <w:sz w:val="36"/>
          <w:szCs w:val="36"/>
        </w:rPr>
        <w:t>填 写 说 明</w:t>
      </w:r>
    </w:p>
    <w:p>
      <w:pPr>
        <w:widowControl/>
        <w:snapToGrid w:val="0"/>
        <w:spacing w:line="520" w:lineRule="exact"/>
        <w:ind w:firstLine="640" w:firstLineChars="200"/>
        <w:rPr>
          <w:rFonts w:ascii="仿宋_GB2312" w:eastAsia="仿宋_GB2312"/>
          <w:sz w:val="32"/>
          <w:szCs w:val="32"/>
        </w:rPr>
      </w:pPr>
      <w:r>
        <w:rPr>
          <w:rFonts w:hint="eastAsia" w:ascii="仿宋_GB2312" w:hAnsi="宋体" w:eastAsia="仿宋_GB2312" w:cs="宋体"/>
          <w:color w:val="000000"/>
          <w:kern w:val="0"/>
          <w:sz w:val="32"/>
          <w:szCs w:val="32"/>
          <w:shd w:val="clear" w:color="auto" w:fill="FFFFFF"/>
        </w:rPr>
        <w:t>1.“计分卡”“资源表”“服务贡献表”和“落实政策表”中的</w:t>
      </w:r>
      <w:r>
        <w:rPr>
          <w:rFonts w:hint="eastAsia" w:ascii="仿宋_GB2312" w:eastAsia="仿宋_GB2312"/>
          <w:sz w:val="32"/>
          <w:szCs w:val="32"/>
        </w:rPr>
        <w:t>“院校代码”须与“高等职业院校人才培养工作状态数据”一致。</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2.“院校名称”须填写学校全称。</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3.相关数据须与“高等职业院校人才培养工作状态数据”一致。例如，“全日制高等职业学历教育在校生折算数”以状态数据平台填报数为准。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4.除特别说明外，相关数据统计时限截止为至2015年9月1日。</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5.请注意对照表格中写明的计量单位，只填报数据不填数据单位，如有小数保留两位。</w:t>
      </w:r>
    </w:p>
    <w:p>
      <w:pPr>
        <w:widowControl/>
        <w:spacing w:line="560" w:lineRule="exact"/>
        <w:jc w:val="left"/>
        <w:rPr>
          <w:rFonts w:ascii="仿宋_GB2312" w:eastAsia="仿宋_GB2312"/>
          <w:color w:val="000000"/>
          <w:sz w:val="30"/>
          <w:szCs w:val="30"/>
        </w:rPr>
      </w:pPr>
    </w:p>
    <w:sectPr>
      <w:footerReference r:id="rId4" w:type="default"/>
      <w:pgSz w:w="11906" w:h="16838"/>
      <w:pgMar w:top="1440" w:right="1797" w:bottom="1701" w:left="1814"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方正小标宋简体">
    <w:altName w:val="微软雅黑"/>
    <w:panose1 w:val="02010601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w:t>
    </w:r>
    <w:r>
      <w:t xml:space="preserve"> 13 -</w:t>
    </w:r>
    <w:r>
      <w:fldChar w:fldCharType="end"/>
    </w:r>
  </w:p>
  <w:p>
    <w:pPr>
      <w:pStyle w:val="3"/>
      <w:rPr>
        <w:sz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D174F"/>
    <w:rsid w:val="00005FD1"/>
    <w:rsid w:val="000243FB"/>
    <w:rsid w:val="0003560A"/>
    <w:rsid w:val="0006104C"/>
    <w:rsid w:val="00070E94"/>
    <w:rsid w:val="00081EB9"/>
    <w:rsid w:val="000B0BEA"/>
    <w:rsid w:val="000D174F"/>
    <w:rsid w:val="00175FBE"/>
    <w:rsid w:val="00194673"/>
    <w:rsid w:val="0019678F"/>
    <w:rsid w:val="00262A62"/>
    <w:rsid w:val="002B38BE"/>
    <w:rsid w:val="002F40A1"/>
    <w:rsid w:val="00344676"/>
    <w:rsid w:val="003963E2"/>
    <w:rsid w:val="003C678C"/>
    <w:rsid w:val="003D0838"/>
    <w:rsid w:val="004D75E5"/>
    <w:rsid w:val="0050198E"/>
    <w:rsid w:val="00503263"/>
    <w:rsid w:val="00503EB8"/>
    <w:rsid w:val="00533AE0"/>
    <w:rsid w:val="005D5505"/>
    <w:rsid w:val="005F7042"/>
    <w:rsid w:val="006029EC"/>
    <w:rsid w:val="00623D6C"/>
    <w:rsid w:val="00641192"/>
    <w:rsid w:val="006F2F23"/>
    <w:rsid w:val="007353F1"/>
    <w:rsid w:val="00764561"/>
    <w:rsid w:val="00793559"/>
    <w:rsid w:val="00795CCE"/>
    <w:rsid w:val="00796EF1"/>
    <w:rsid w:val="007B2488"/>
    <w:rsid w:val="008060E3"/>
    <w:rsid w:val="00842C57"/>
    <w:rsid w:val="009211C8"/>
    <w:rsid w:val="009471D7"/>
    <w:rsid w:val="009976D9"/>
    <w:rsid w:val="009D7968"/>
    <w:rsid w:val="00A74C22"/>
    <w:rsid w:val="00A76DB1"/>
    <w:rsid w:val="00A86E9D"/>
    <w:rsid w:val="00B45E03"/>
    <w:rsid w:val="00B5420B"/>
    <w:rsid w:val="00BB650D"/>
    <w:rsid w:val="00BD399B"/>
    <w:rsid w:val="00C0058D"/>
    <w:rsid w:val="00C33D38"/>
    <w:rsid w:val="00CC6D4C"/>
    <w:rsid w:val="00D6085C"/>
    <w:rsid w:val="00D638CC"/>
    <w:rsid w:val="00DB78F6"/>
    <w:rsid w:val="00E120E3"/>
    <w:rsid w:val="00E56D90"/>
    <w:rsid w:val="00EB357D"/>
    <w:rsid w:val="00EC17BF"/>
    <w:rsid w:val="00F30F4C"/>
    <w:rsid w:val="00F32646"/>
    <w:rsid w:val="00F46A24"/>
    <w:rsid w:val="00F536ED"/>
    <w:rsid w:val="00FB18FD"/>
    <w:rsid w:val="00FE1163"/>
    <w:rsid w:val="05460C8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semiHidden/>
    <w:uiPriority w:val="99"/>
    <w:rPr>
      <w:sz w:val="18"/>
      <w:szCs w:val="18"/>
    </w:rPr>
  </w:style>
  <w:style w:type="character" w:customStyle="1" w:styleId="10">
    <w:name w:val="页脚 Char"/>
    <w:basedOn w:val="6"/>
    <w:link w:val="3"/>
    <w:uiPriority w:val="99"/>
    <w:rPr>
      <w:sz w:val="18"/>
      <w:szCs w:val="18"/>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13</Pages>
  <Words>749</Words>
  <Characters>4274</Characters>
  <Lines>35</Lines>
  <Paragraphs>10</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2015-10-20T00:57:00Z</dcterms:created>
  <dc:creator>张磊</dc:creator>
  <cp:lastModifiedBy>pyj</cp:lastModifiedBy>
  <cp:lastPrinted>2015-10-20T01:27:00Z</cp:lastPrinted>
  <dcterms:modified xsi:type="dcterms:W3CDTF">2015-10-20T03:06:35Z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