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jc w:val="center"/>
        <w:outlineLvl w:val="0"/>
        <w:rPr>
          <w:rFonts w:ascii="黑体" w:hAnsi="黑体"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201</w:t>
      </w:r>
      <w:r>
        <w:rPr>
          <w:rFonts w:ascii="黑体" w:hAnsi="黑体" w:eastAsia="黑体"/>
          <w:b/>
          <w:bCs/>
          <w:color w:val="000000" w:themeColor="text1"/>
          <w:sz w:val="36"/>
          <w:szCs w:val="36"/>
          <w14:textFill>
            <w14:solidFill>
              <w14:schemeClr w14:val="tx1"/>
            </w14:solidFill>
          </w14:textFill>
        </w:rPr>
        <w:t>6</w:t>
      </w:r>
      <w:r>
        <w:rPr>
          <w:rFonts w:hint="eastAsia" w:ascii="黑体" w:hAnsi="黑体" w:eastAsia="黑体"/>
          <w:b/>
          <w:bCs/>
          <w:color w:val="000000" w:themeColor="text1"/>
          <w:sz w:val="36"/>
          <w:szCs w:val="36"/>
          <w14:textFill>
            <w14:solidFill>
              <w14:schemeClr w14:val="tx1"/>
            </w14:solidFill>
          </w14:textFill>
        </w:rPr>
        <w:t>年全国职业院校技能大赛高职组</w:t>
      </w:r>
    </w:p>
    <w:p>
      <w:pPr>
        <w:adjustRightInd w:val="0"/>
        <w:snapToGrid w:val="0"/>
        <w:spacing w:line="360" w:lineRule="auto"/>
        <w:jc w:val="center"/>
        <w:outlineLvl w:val="0"/>
        <w:rPr>
          <w:rFonts w:ascii="黑体" w:hAnsi="黑体" w:eastAsia="黑体"/>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14:textFill>
            <w14:solidFill>
              <w14:schemeClr w14:val="tx1"/>
            </w14:solidFill>
          </w14:textFill>
        </w:rPr>
        <w:t>“信息安全管理与评估”赛项规程</w:t>
      </w:r>
    </w:p>
    <w:p>
      <w:pPr>
        <w:adjustRightInd w:val="0"/>
        <w:snapToGrid w:val="0"/>
        <w:spacing w:line="360" w:lineRule="auto"/>
        <w:jc w:val="center"/>
        <w:rPr>
          <w:rFonts w:ascii="黑体" w:hAnsi="黑体" w:eastAsia="黑体"/>
          <w:color w:val="000000" w:themeColor="text1"/>
          <w:sz w:val="36"/>
          <w:szCs w:val="36"/>
          <w14:textFill>
            <w14:solidFill>
              <w14:schemeClr w14:val="tx1"/>
            </w14:solidFill>
          </w14:textFill>
        </w:rPr>
      </w:pPr>
    </w:p>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rPr>
          <w:rFonts w:ascii="仿宋" w:hAnsi="仿宋" w:eastAsia="仿宋"/>
          <w:bCs w:val="0"/>
          <w:color w:val="000000" w:themeColor="text1"/>
          <w:kern w:val="2"/>
          <w:sz w:val="28"/>
          <w:szCs w:val="28"/>
          <w14:textFill>
            <w14:solidFill>
              <w14:schemeClr w14:val="tx1"/>
            </w14:solidFill>
          </w14:textFill>
        </w:rPr>
      </w:pPr>
      <w:r>
        <w:rPr>
          <w:rFonts w:hint="eastAsia" w:ascii="仿宋" w:hAnsi="仿宋" w:eastAsia="仿宋"/>
          <w:bCs w:val="0"/>
          <w:color w:val="000000" w:themeColor="text1"/>
          <w:kern w:val="2"/>
          <w:sz w:val="28"/>
          <w:szCs w:val="28"/>
          <w14:textFill>
            <w14:solidFill>
              <w14:schemeClr w14:val="tx1"/>
            </w14:solidFill>
          </w14:textFill>
        </w:rPr>
        <w:t>一、赛项名称</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赛项编号：</w:t>
      </w:r>
      <w:r>
        <w:rPr>
          <w:rFonts w:ascii="仿宋" w:hAnsi="仿宋" w:eastAsia="仿宋"/>
          <w:color w:val="000000" w:themeColor="text1"/>
          <w:sz w:val="28"/>
          <w:szCs w:val="28"/>
          <w14:textFill>
            <w14:solidFill>
              <w14:schemeClr w14:val="tx1"/>
            </w14:solidFill>
          </w14:textFill>
        </w:rPr>
        <w:t>GZ-024</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赛项名称：信息安全管理与评估</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英语翻译：Information </w:t>
      </w:r>
      <w:r>
        <w:rPr>
          <w:rFonts w:ascii="仿宋" w:hAnsi="仿宋" w:eastAsia="仿宋"/>
          <w:color w:val="000000" w:themeColor="text1"/>
          <w:sz w:val="28"/>
          <w:szCs w:val="28"/>
          <w14:textFill>
            <w14:solidFill>
              <w14:schemeClr w14:val="tx1"/>
            </w14:solidFill>
          </w14:textFill>
        </w:rPr>
        <w:t>S</w:t>
      </w:r>
      <w:r>
        <w:rPr>
          <w:rFonts w:hint="eastAsia" w:ascii="仿宋" w:hAnsi="仿宋" w:eastAsia="仿宋"/>
          <w:color w:val="000000" w:themeColor="text1"/>
          <w:sz w:val="28"/>
          <w:szCs w:val="28"/>
          <w14:textFill>
            <w14:solidFill>
              <w14:schemeClr w14:val="tx1"/>
            </w14:solidFill>
          </w14:textFill>
        </w:rPr>
        <w:t xml:space="preserve">ecurity </w:t>
      </w:r>
      <w:r>
        <w:rPr>
          <w:rFonts w:ascii="仿宋" w:hAnsi="仿宋" w:eastAsia="仿宋"/>
          <w:color w:val="000000" w:themeColor="text1"/>
          <w:sz w:val="28"/>
          <w:szCs w:val="28"/>
          <w14:textFill>
            <w14:solidFill>
              <w14:schemeClr w14:val="tx1"/>
            </w14:solidFill>
          </w14:textFill>
        </w:rPr>
        <w:t>M</w:t>
      </w:r>
      <w:r>
        <w:rPr>
          <w:rFonts w:hint="eastAsia" w:ascii="仿宋" w:hAnsi="仿宋" w:eastAsia="仿宋"/>
          <w:color w:val="000000" w:themeColor="text1"/>
          <w:sz w:val="28"/>
          <w:szCs w:val="28"/>
          <w14:textFill>
            <w14:solidFill>
              <w14:schemeClr w14:val="tx1"/>
            </w14:solidFill>
          </w14:textFill>
        </w:rPr>
        <w:t xml:space="preserve">anagement and </w:t>
      </w:r>
      <w:r>
        <w:rPr>
          <w:rFonts w:ascii="仿宋" w:hAnsi="仿宋" w:eastAsia="仿宋"/>
          <w:color w:val="000000" w:themeColor="text1"/>
          <w:sz w:val="28"/>
          <w:szCs w:val="28"/>
          <w14:textFill>
            <w14:solidFill>
              <w14:schemeClr w14:val="tx1"/>
            </w14:solidFill>
          </w14:textFill>
        </w:rPr>
        <w:t>E</w:t>
      </w:r>
      <w:r>
        <w:rPr>
          <w:rFonts w:hint="eastAsia" w:ascii="仿宋" w:hAnsi="仿宋" w:eastAsia="仿宋"/>
          <w:color w:val="000000" w:themeColor="text1"/>
          <w:sz w:val="28"/>
          <w:szCs w:val="28"/>
          <w14:textFill>
            <w14:solidFill>
              <w14:schemeClr w14:val="tx1"/>
            </w14:solidFill>
          </w14:textFill>
        </w:rPr>
        <w:t>valuation</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赛项组别：高职</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赛项归属产业：电子信息</w:t>
      </w:r>
      <w:r>
        <w:rPr>
          <w:rFonts w:ascii="仿宋" w:hAnsi="仿宋" w:eastAsia="仿宋"/>
          <w:color w:val="000000" w:themeColor="text1"/>
          <w:sz w:val="28"/>
          <w:szCs w:val="28"/>
          <w14:textFill>
            <w14:solidFill>
              <w14:schemeClr w14:val="tx1"/>
            </w14:solidFill>
          </w14:textFill>
        </w:rPr>
        <w:t>产业</w:t>
      </w:r>
    </w:p>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Cs w:val="0"/>
          <w:color w:val="000000" w:themeColor="text1"/>
          <w:kern w:val="2"/>
          <w:sz w:val="28"/>
          <w:szCs w:val="28"/>
          <w14:textFill>
            <w14:solidFill>
              <w14:schemeClr w14:val="tx1"/>
            </w14:solidFill>
          </w14:textFill>
        </w:rPr>
        <w:t>二、竞赛目的</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49" w:firstLineChars="196"/>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通过赛项检验参赛选手网络组建、安全架构和网络安全运维管控等方面的技术技能，检验参赛队组织和团队协作等综合职业素养，培养学生创新能力和实践动手能力，提升学生职业能力和就业竞争力。丰富完善学习领域课程建设，使人才培养更贴近岗位实际，实现以赛促教、以赛促学、以赛促改的产教结合格局，提升专业培养服务社会和行业发展的能力，为国家信息安全行业培养选拔技术技能型人才。</w:t>
      </w:r>
    </w:p>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Cs w:val="0"/>
          <w:color w:val="000000" w:themeColor="text1"/>
          <w:kern w:val="2"/>
          <w:sz w:val="28"/>
          <w:szCs w:val="28"/>
          <w14:textFill>
            <w14:solidFill>
              <w14:schemeClr w14:val="tx1"/>
            </w14:solidFill>
          </w14:textFill>
        </w:rPr>
        <w:t>三、竞赛内容</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重点考核参赛选手安全网络组建、网络系统安全策略部署、信息保护、网络安全运维管理的综合实践能力，具体包括：</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参赛选手能够根据大赛提供的赛项要求，设计信息安全防护方案，并且能够提供详细的信息安全防护设备拓扑图。</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参赛选手能够根据业务需求和实际的工程应用环境，实现网络设备、安全设备、服务器的连接，通过调试，实现设备互联互通。</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参赛选手能够在赛项提供的网络设备及服务器上配置各种协议和服务，实现网络系统的运行，并根据网络业务需求配置各种安全策略，以满足应用需求。</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参赛选手能够根据网络实际运行中面临的安全威胁，指定安全策略并部署实施，防范并解决网络恶意入侵和攻击行为。</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参赛选手能够按照要求准确撰写工作总结。</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以参赛队为单位进行分组对抗，在防护本参赛队服务器的同时，渗透其他参赛队的服务器，服务器被渗透的参赛队立即下线，该参赛队比赛结束，选手出场。比赛结果通过大屏幕等形式在休息区实时展示。</w:t>
      </w:r>
    </w:p>
    <w:p>
      <w:pPr>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各竞赛阶段重点</w:t>
      </w:r>
      <w:r>
        <w:rPr>
          <w:rFonts w:ascii="仿宋" w:hAnsi="仿宋" w:eastAsia="仿宋"/>
          <w:color w:val="000000" w:themeColor="text1"/>
          <w:sz w:val="28"/>
          <w:szCs w:val="28"/>
          <w14:textFill>
            <w14:solidFill>
              <w14:schemeClr w14:val="tx1"/>
            </w14:solidFill>
          </w14:textFill>
        </w:rPr>
        <w:t>内容</w:t>
      </w:r>
      <w:r>
        <w:rPr>
          <w:rFonts w:hint="eastAsia" w:ascii="仿宋" w:hAnsi="仿宋" w:eastAsia="仿宋"/>
          <w:color w:val="000000" w:themeColor="text1"/>
          <w:sz w:val="28"/>
          <w:szCs w:val="28"/>
          <w14:textFill>
            <w14:solidFill>
              <w14:schemeClr w14:val="tx1"/>
            </w14:solidFill>
          </w14:textFill>
        </w:rPr>
        <w:t>如下：</w:t>
      </w:r>
    </w:p>
    <w:tbl>
      <w:tblPr>
        <w:tblStyle w:val="12"/>
        <w:tblW w:w="8296" w:type="dxa"/>
        <w:tblInd w:w="0" w:type="dxa"/>
        <w:tblLayout w:type="fixed"/>
        <w:tblCellMar>
          <w:top w:w="0" w:type="dxa"/>
          <w:left w:w="108" w:type="dxa"/>
          <w:bottom w:w="0" w:type="dxa"/>
          <w:right w:w="108" w:type="dxa"/>
        </w:tblCellMar>
      </w:tblPr>
      <w:tblGrid>
        <w:gridCol w:w="1159"/>
        <w:gridCol w:w="1389"/>
        <w:gridCol w:w="1701"/>
        <w:gridCol w:w="4047"/>
      </w:tblGrid>
      <w:tr>
        <w:tblPrEx>
          <w:tblLayout w:type="fixed"/>
          <w:tblCellMar>
            <w:top w:w="0" w:type="dxa"/>
            <w:left w:w="108" w:type="dxa"/>
            <w:bottom w:w="0" w:type="dxa"/>
            <w:right w:w="108" w:type="dxa"/>
          </w:tblCellMar>
        </w:tblPrEx>
        <w:trPr>
          <w:trHeight w:val="270" w:hRule="atLeast"/>
        </w:trPr>
        <w:tc>
          <w:tcPr>
            <w:tcW w:w="1159" w:type="dxa"/>
            <w:tcBorders>
              <w:top w:val="single" w:color="auto" w:sz="4" w:space="0"/>
              <w:left w:val="single" w:color="auto" w:sz="4" w:space="0"/>
              <w:bottom w:val="single" w:color="auto" w:sz="4" w:space="0"/>
              <w:right w:val="single" w:color="auto" w:sz="4" w:space="0"/>
            </w:tcBorders>
            <w:vAlign w:val="bottom"/>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1389"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内容模块</w:t>
            </w:r>
          </w:p>
        </w:tc>
        <w:tc>
          <w:tcPr>
            <w:tcW w:w="1701"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具体内容</w:t>
            </w:r>
          </w:p>
        </w:tc>
        <w:tc>
          <w:tcPr>
            <w:tcW w:w="4047" w:type="dxa"/>
            <w:tcBorders>
              <w:top w:val="single" w:color="auto" w:sz="4" w:space="0"/>
              <w:left w:val="nil"/>
              <w:bottom w:val="single" w:color="auto" w:sz="4" w:space="0"/>
              <w:right w:val="single" w:color="auto" w:sz="4" w:space="0"/>
            </w:tcBorders>
            <w:vAlign w:val="bottom"/>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说明</w:t>
            </w:r>
          </w:p>
        </w:tc>
      </w:tr>
      <w:tr>
        <w:tblPrEx>
          <w:tblLayout w:type="fixed"/>
          <w:tblCellMar>
            <w:top w:w="0" w:type="dxa"/>
            <w:left w:w="108" w:type="dxa"/>
            <w:bottom w:w="0" w:type="dxa"/>
            <w:right w:w="108" w:type="dxa"/>
          </w:tblCellMar>
        </w:tblPrEx>
        <w:trPr>
          <w:trHeight w:val="555"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第一阶段</w:t>
            </w:r>
          </w:p>
        </w:tc>
        <w:tc>
          <w:tcPr>
            <w:tcW w:w="1389" w:type="dxa"/>
            <w:vMerge w:val="restart"/>
            <w:tcBorders>
              <w:top w:val="nil"/>
              <w:left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网络平台搭建</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网络规划技术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VLSM、CIDR；</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网络交换技术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VLAN、STP、RSTP、MSTP、802.1X、端口安全、端口聚合等；</w:t>
            </w:r>
          </w:p>
        </w:tc>
      </w:tr>
      <w:tr>
        <w:tblPrEx>
          <w:tblLayout w:type="fixed"/>
          <w:tblCellMar>
            <w:top w:w="0" w:type="dxa"/>
            <w:left w:w="108" w:type="dxa"/>
            <w:bottom w:w="0" w:type="dxa"/>
            <w:right w:w="108" w:type="dxa"/>
          </w:tblCellMar>
        </w:tblPrEx>
        <w:trPr>
          <w:trHeight w:val="105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网络安全设备配置与防护</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防火墙技术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能够在城域网中部署防火墙，使用防火墙规则保护内网服务安全，在防火墙上实现路由、</w:t>
            </w:r>
            <w:r>
              <w:rPr>
                <w:rFonts w:hint="eastAsia" w:ascii="仿宋" w:hAnsi="仿宋" w:eastAsia="仿宋"/>
                <w:color w:val="000000" w:themeColor="text1"/>
                <w:kern w:val="0"/>
                <w:sz w:val="24"/>
                <w:szCs w:val="24"/>
                <w14:textFill>
                  <w14:solidFill>
                    <w14:schemeClr w14:val="tx1"/>
                  </w14:solidFill>
                </w14:textFill>
              </w:rPr>
              <w:t>NAT</w:t>
            </w:r>
            <w:r>
              <w:rPr>
                <w:rFonts w:hint="eastAsia" w:ascii="仿宋" w:hAnsi="仿宋" w:eastAsia="仿宋" w:cs="宋体"/>
                <w:color w:val="000000" w:themeColor="text1"/>
                <w:kern w:val="0"/>
                <w:sz w:val="24"/>
                <w:szCs w:val="24"/>
                <w14:textFill>
                  <w14:solidFill>
                    <w14:schemeClr w14:val="tx1"/>
                  </w14:solidFill>
                </w14:textFill>
              </w:rPr>
              <w:t>转换、防</w:t>
            </w:r>
            <w:r>
              <w:rPr>
                <w:rFonts w:hint="eastAsia" w:ascii="仿宋" w:hAnsi="仿宋" w:eastAsia="仿宋"/>
                <w:color w:val="000000" w:themeColor="text1"/>
                <w:kern w:val="0"/>
                <w:sz w:val="24"/>
                <w:szCs w:val="24"/>
                <w14:textFill>
                  <w14:solidFill>
                    <w14:schemeClr w14:val="tx1"/>
                  </w14:solidFill>
                </w14:textFill>
              </w:rPr>
              <w:t>DDos</w:t>
            </w:r>
            <w:r>
              <w:rPr>
                <w:rFonts w:hint="eastAsia" w:ascii="仿宋" w:hAnsi="仿宋" w:eastAsia="仿宋" w:cs="宋体"/>
                <w:color w:val="000000" w:themeColor="text1"/>
                <w:kern w:val="0"/>
                <w:sz w:val="24"/>
                <w:szCs w:val="24"/>
                <w14:textFill>
                  <w14:solidFill>
                    <w14:schemeClr w14:val="tx1"/>
                  </w14:solidFill>
                </w14:textFill>
              </w:rPr>
              <w:t>攻击、实现包过滤、</w:t>
            </w:r>
            <w:r>
              <w:rPr>
                <w:rFonts w:hint="eastAsia" w:ascii="仿宋" w:hAnsi="仿宋" w:eastAsia="仿宋"/>
                <w:color w:val="000000" w:themeColor="text1"/>
                <w:kern w:val="0"/>
                <w:sz w:val="24"/>
                <w:szCs w:val="24"/>
                <w14:textFill>
                  <w14:solidFill>
                    <w14:schemeClr w14:val="tx1"/>
                  </w14:solidFill>
                </w14:textFill>
              </w:rPr>
              <w:t>URL</w:t>
            </w:r>
            <w:r>
              <w:rPr>
                <w:rFonts w:hint="eastAsia" w:ascii="仿宋" w:hAnsi="仿宋" w:eastAsia="仿宋" w:cs="宋体"/>
                <w:color w:val="000000" w:themeColor="text1"/>
                <w:kern w:val="0"/>
                <w:sz w:val="24"/>
                <w:szCs w:val="24"/>
                <w14:textFill>
                  <w14:solidFill>
                    <w14:schemeClr w14:val="tx1"/>
                  </w14:solidFill>
                </w14:textFill>
              </w:rPr>
              <w:t>过滤、</w:t>
            </w:r>
            <w:r>
              <w:rPr>
                <w:rFonts w:hint="eastAsia" w:ascii="仿宋" w:hAnsi="仿宋" w:eastAsia="仿宋"/>
                <w:color w:val="000000" w:themeColor="text1"/>
                <w:kern w:val="0"/>
                <w:sz w:val="24"/>
                <w:szCs w:val="24"/>
                <w14:textFill>
                  <w14:solidFill>
                    <w14:schemeClr w14:val="tx1"/>
                  </w14:solidFill>
                </w14:textFill>
              </w:rPr>
              <w:t>P2P</w:t>
            </w:r>
            <w:r>
              <w:rPr>
                <w:rFonts w:hint="eastAsia" w:ascii="仿宋" w:hAnsi="仿宋" w:eastAsia="仿宋" w:cs="宋体"/>
                <w:color w:val="000000" w:themeColor="text1"/>
                <w:kern w:val="0"/>
                <w:sz w:val="24"/>
                <w:szCs w:val="24"/>
                <w14:textFill>
                  <w14:solidFill>
                    <w14:schemeClr w14:val="tx1"/>
                  </w14:solidFill>
                </w14:textFill>
              </w:rPr>
              <w:t>流量控制、</w:t>
            </w:r>
            <w:r>
              <w:rPr>
                <w:rFonts w:hint="eastAsia" w:ascii="仿宋" w:hAnsi="仿宋" w:eastAsia="仿宋"/>
                <w:color w:val="000000" w:themeColor="text1"/>
                <w:kern w:val="0"/>
                <w:sz w:val="24"/>
                <w:szCs w:val="24"/>
                <w14:textFill>
                  <w14:solidFill>
                    <w14:schemeClr w14:val="tx1"/>
                  </w14:solidFill>
                </w14:textFill>
              </w:rPr>
              <w:t>IPSec VPN或SSL VPN或</w:t>
            </w:r>
            <w:r>
              <w:rPr>
                <w:rFonts w:ascii="仿宋" w:hAnsi="仿宋" w:eastAsia="仿宋"/>
                <w:color w:val="000000" w:themeColor="text1"/>
                <w:kern w:val="0"/>
                <w:sz w:val="24"/>
                <w:szCs w:val="24"/>
                <w14:textFill>
                  <w14:solidFill>
                    <w14:schemeClr w14:val="tx1"/>
                  </w14:solidFill>
                </w14:textFill>
              </w:rPr>
              <w:t>L2TP VPN</w:t>
            </w:r>
            <w:r>
              <w:rPr>
                <w:rFonts w:hint="eastAsia" w:ascii="仿宋" w:hAnsi="仿宋" w:eastAsia="仿宋" w:cs="宋体"/>
                <w:color w:val="000000" w:themeColor="text1"/>
                <w:kern w:val="0"/>
                <w:sz w:val="24"/>
                <w:szCs w:val="24"/>
                <w14:textFill>
                  <w14:solidFill>
                    <w14:schemeClr w14:val="tx1"/>
                  </w14:solidFill>
                </w14:textFill>
              </w:rPr>
              <w:t>等；</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流量整形技术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基于IP、协议、应用、用户角色、自定义数据流和时间等方式的带宽控制，QOS策略等。</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日志分析技术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能够利用日志系统对网络内的数据进行日志分析，把控网络安全。</w:t>
            </w:r>
          </w:p>
        </w:tc>
      </w:tr>
      <w:tr>
        <w:tblPrEx>
          <w:tblLayout w:type="fixed"/>
          <w:tblCellMar>
            <w:top w:w="0" w:type="dxa"/>
            <w:left w:w="108" w:type="dxa"/>
            <w:bottom w:w="0" w:type="dxa"/>
            <w:right w:w="108" w:type="dxa"/>
          </w:tblCellMar>
        </w:tblPrEx>
        <w:trPr>
          <w:trHeight w:val="540"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WEB</w:t>
            </w:r>
            <w:r>
              <w:rPr>
                <w:rFonts w:ascii="仿宋" w:hAnsi="仿宋" w:eastAsia="仿宋"/>
                <w:color w:val="000000" w:themeColor="text1"/>
                <w:kern w:val="0"/>
                <w:sz w:val="24"/>
                <w:szCs w:val="24"/>
                <w14:textFill>
                  <w14:solidFill>
                    <w14:schemeClr w14:val="tx1"/>
                  </w14:solidFill>
                </w14:textFill>
              </w:rPr>
              <w:t>应用安全技术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能够利用WEB应用</w:t>
            </w:r>
            <w:r>
              <w:rPr>
                <w:rFonts w:ascii="仿宋" w:hAnsi="仿宋" w:eastAsia="仿宋"/>
                <w:color w:val="000000" w:themeColor="text1"/>
                <w:kern w:val="0"/>
                <w:sz w:val="24"/>
                <w:szCs w:val="24"/>
                <w14:textFill>
                  <w14:solidFill>
                    <w14:schemeClr w14:val="tx1"/>
                  </w14:solidFill>
                </w14:textFill>
              </w:rPr>
              <w:t>防火墙</w:t>
            </w:r>
            <w:r>
              <w:rPr>
                <w:rFonts w:hint="eastAsia" w:ascii="仿宋" w:hAnsi="仿宋" w:eastAsia="仿宋"/>
                <w:color w:val="000000" w:themeColor="text1"/>
                <w:kern w:val="0"/>
                <w:sz w:val="24"/>
                <w:szCs w:val="24"/>
                <w14:textFill>
                  <w14:solidFill>
                    <w14:schemeClr w14:val="tx1"/>
                  </w14:solidFill>
                </w14:textFill>
              </w:rPr>
              <w:t>保护内部</w:t>
            </w:r>
            <w:r>
              <w:rPr>
                <w:rFonts w:ascii="仿宋" w:hAnsi="仿宋" w:eastAsia="仿宋"/>
                <w:color w:val="000000" w:themeColor="text1"/>
                <w:kern w:val="0"/>
                <w:sz w:val="24"/>
                <w:szCs w:val="24"/>
                <w14:textFill>
                  <w14:solidFill>
                    <w14:schemeClr w14:val="tx1"/>
                  </w14:solidFill>
                </w14:textFill>
              </w:rPr>
              <w:t>网络，</w:t>
            </w:r>
            <w:r>
              <w:rPr>
                <w:rFonts w:hint="eastAsia" w:ascii="仿宋" w:hAnsi="仿宋" w:eastAsia="仿宋"/>
                <w:color w:val="000000" w:themeColor="text1"/>
                <w:kern w:val="0"/>
                <w:sz w:val="24"/>
                <w:szCs w:val="24"/>
                <w14:textFill>
                  <w14:solidFill>
                    <w14:schemeClr w14:val="tx1"/>
                  </w14:solidFill>
                </w14:textFill>
              </w:rPr>
              <w:t>实现</w:t>
            </w:r>
            <w:r>
              <w:rPr>
                <w:rFonts w:ascii="仿宋" w:hAnsi="仿宋" w:eastAsia="仿宋"/>
                <w:color w:val="000000" w:themeColor="text1"/>
                <w:kern w:val="0"/>
                <w:sz w:val="24"/>
                <w:szCs w:val="24"/>
                <w14:textFill>
                  <w14:solidFill>
                    <w14:schemeClr w14:val="tx1"/>
                  </w14:solidFill>
                </w14:textFill>
              </w:rPr>
              <w:t>过滤和</w:t>
            </w:r>
            <w:r>
              <w:rPr>
                <w:rFonts w:hint="eastAsia" w:ascii="仿宋" w:hAnsi="仿宋" w:eastAsia="仿宋"/>
                <w:color w:val="000000" w:themeColor="text1"/>
                <w:kern w:val="0"/>
                <w:sz w:val="24"/>
                <w:szCs w:val="24"/>
                <w14:textFill>
                  <w14:solidFill>
                    <w14:schemeClr w14:val="tx1"/>
                  </w14:solidFill>
                </w14:textFill>
              </w:rPr>
              <w:t>防护</w:t>
            </w:r>
            <w:r>
              <w:rPr>
                <w:rFonts w:ascii="仿宋" w:hAnsi="仿宋" w:eastAsia="仿宋"/>
                <w:color w:val="000000" w:themeColor="text1"/>
                <w:kern w:val="0"/>
                <w:sz w:val="24"/>
                <w:szCs w:val="24"/>
                <w14:textFill>
                  <w14:solidFill>
                    <w14:schemeClr w14:val="tx1"/>
                  </w14:solidFill>
                </w14:textFill>
              </w:rPr>
              <w:t>等</w:t>
            </w:r>
            <w:r>
              <w:rPr>
                <w:rFonts w:hint="eastAsia" w:ascii="仿宋" w:hAnsi="仿宋" w:eastAsia="仿宋"/>
                <w:color w:val="000000" w:themeColor="text1"/>
                <w:kern w:val="0"/>
                <w:sz w:val="24"/>
                <w:szCs w:val="24"/>
                <w14:textFill>
                  <w14:solidFill>
                    <w14:schemeClr w14:val="tx1"/>
                  </w14:solidFill>
                </w14:textFill>
              </w:rPr>
              <w:t>。</w:t>
            </w:r>
          </w:p>
        </w:tc>
      </w:tr>
      <w:tr>
        <w:tblPrEx>
          <w:tblLayout w:type="fixed"/>
          <w:tblCellMar>
            <w:top w:w="0" w:type="dxa"/>
            <w:left w:w="108" w:type="dxa"/>
            <w:bottom w:w="0" w:type="dxa"/>
            <w:right w:w="108" w:type="dxa"/>
          </w:tblCellMar>
        </w:tblPrEx>
        <w:trPr>
          <w:trHeight w:val="540" w:hRule="atLeast"/>
        </w:trPr>
        <w:tc>
          <w:tcPr>
            <w:tcW w:w="115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第二阶段</w:t>
            </w:r>
          </w:p>
        </w:tc>
        <w:tc>
          <w:tcPr>
            <w:tcW w:w="138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系统安全攻防及运维安全管控</w:t>
            </w: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网站防护技术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HTTP防护、会话跟踪、</w:t>
            </w:r>
            <w:bookmarkStart w:id="0" w:name="_Toc330457543"/>
            <w:r>
              <w:rPr>
                <w:rFonts w:hint="eastAsia" w:ascii="仿宋" w:hAnsi="仿宋" w:eastAsia="仿宋"/>
                <w:color w:val="000000" w:themeColor="text1"/>
                <w:kern w:val="0"/>
                <w:sz w:val="24"/>
                <w:szCs w:val="24"/>
                <w14:textFill>
                  <w14:solidFill>
                    <w14:schemeClr w14:val="tx1"/>
                  </w14:solidFill>
                </w14:textFill>
              </w:rPr>
              <w:t>数据窃取防护</w:t>
            </w:r>
            <w:bookmarkEnd w:id="0"/>
            <w:r>
              <w:rPr>
                <w:rFonts w:hint="eastAsia" w:ascii="仿宋" w:hAnsi="仿宋" w:eastAsia="仿宋"/>
                <w:color w:val="000000" w:themeColor="text1"/>
                <w:kern w:val="0"/>
                <w:sz w:val="24"/>
                <w:szCs w:val="24"/>
                <w14:textFill>
                  <w14:solidFill>
                    <w14:schemeClr w14:val="tx1"/>
                  </w14:solidFill>
                </w14:textFill>
              </w:rPr>
              <w:t>、漏洞扫描、防篡改等技术</w:t>
            </w:r>
          </w:p>
        </w:tc>
      </w:tr>
      <w:tr>
        <w:tblPrEx>
          <w:tblLayout w:type="fixed"/>
          <w:tblCellMar>
            <w:top w:w="0" w:type="dxa"/>
            <w:left w:w="108" w:type="dxa"/>
            <w:bottom w:w="0" w:type="dxa"/>
            <w:right w:w="108" w:type="dxa"/>
          </w:tblCellMar>
        </w:tblPrEx>
        <w:trPr>
          <w:trHeight w:val="510" w:hRule="atLeast"/>
        </w:trPr>
        <w:tc>
          <w:tcPr>
            <w:tcW w:w="115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服务器渗透技术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针对未设置防护的数据库和服务器进行扫描、密码猜测等渗透测试。</w:t>
            </w:r>
          </w:p>
        </w:tc>
      </w:tr>
      <w:tr>
        <w:tblPrEx>
          <w:tblLayout w:type="fixed"/>
          <w:tblCellMar>
            <w:top w:w="0" w:type="dxa"/>
            <w:left w:w="108" w:type="dxa"/>
            <w:bottom w:w="0" w:type="dxa"/>
            <w:right w:w="108" w:type="dxa"/>
          </w:tblCellMar>
        </w:tblPrEx>
        <w:trPr>
          <w:trHeight w:val="549" w:hRule="atLeast"/>
        </w:trPr>
        <w:tc>
          <w:tcPr>
            <w:tcW w:w="115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p>
        </w:tc>
        <w:tc>
          <w:tcPr>
            <w:tcW w:w="138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701"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服务器加固技术</w:t>
            </w:r>
          </w:p>
        </w:tc>
        <w:tc>
          <w:tcPr>
            <w:tcW w:w="4047" w:type="dxa"/>
            <w:tcBorders>
              <w:top w:val="nil"/>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强制访问控制、数据保护、行为审计等</w:t>
            </w:r>
          </w:p>
        </w:tc>
      </w:tr>
      <w:tr>
        <w:tblPrEx>
          <w:tblLayout w:type="fixed"/>
          <w:tblCellMar>
            <w:top w:w="0" w:type="dxa"/>
            <w:left w:w="108" w:type="dxa"/>
            <w:bottom w:w="0" w:type="dxa"/>
            <w:right w:w="108" w:type="dxa"/>
          </w:tblCellMar>
        </w:tblPrEx>
        <w:trPr>
          <w:trHeight w:val="510" w:hRule="atLeast"/>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第三阶段</w:t>
            </w:r>
          </w:p>
        </w:tc>
        <w:tc>
          <w:tcPr>
            <w:tcW w:w="1389"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分组对抗</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参赛队之间进行对抗演练</w:t>
            </w:r>
          </w:p>
        </w:tc>
        <w:tc>
          <w:tcPr>
            <w:tcW w:w="4047" w:type="dxa"/>
            <w:tcBorders>
              <w:top w:val="single" w:color="auto" w:sz="4" w:space="0"/>
              <w:left w:val="nil"/>
              <w:bottom w:val="single" w:color="auto" w:sz="4" w:space="0"/>
              <w:right w:val="single" w:color="auto" w:sz="4" w:space="0"/>
            </w:tcBorders>
            <w:vAlign w:val="center"/>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密码学基础、认证与授权基础、Windows/Linux服务器系统与安全、网络服务安全、Web应用安全、数据库安全、扫描探测、溢出攻击、破解验证技术、安全加固、病毒及恶意代码分析及清除等相关知识。</w:t>
            </w:r>
          </w:p>
        </w:tc>
      </w:tr>
    </w:tbl>
    <w:p>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8.竞赛分值权重和时间分布</w:t>
      </w:r>
    </w:p>
    <w:tbl>
      <w:tblPr>
        <w:tblStyle w:val="12"/>
        <w:tblW w:w="8296" w:type="dxa"/>
        <w:tblInd w:w="0" w:type="dxa"/>
        <w:tblLayout w:type="fixed"/>
        <w:tblCellMar>
          <w:top w:w="0" w:type="dxa"/>
          <w:left w:w="108" w:type="dxa"/>
          <w:bottom w:w="0" w:type="dxa"/>
          <w:right w:w="108" w:type="dxa"/>
        </w:tblCellMar>
      </w:tblPr>
      <w:tblGrid>
        <w:gridCol w:w="1980"/>
        <w:gridCol w:w="4252"/>
        <w:gridCol w:w="2064"/>
      </w:tblGrid>
      <w:tr>
        <w:tblPrEx>
          <w:tblLayout w:type="fixed"/>
          <w:tblCellMar>
            <w:top w:w="0" w:type="dxa"/>
            <w:left w:w="108" w:type="dxa"/>
            <w:bottom w:w="0" w:type="dxa"/>
            <w:right w:w="108" w:type="dxa"/>
          </w:tblCellMar>
        </w:tblPrEx>
        <w:trPr>
          <w:trHeight w:val="285" w:hRule="atLeast"/>
        </w:trPr>
        <w:tc>
          <w:tcPr>
            <w:tcW w:w="198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内容模块</w:t>
            </w:r>
          </w:p>
        </w:tc>
        <w:tc>
          <w:tcPr>
            <w:tcW w:w="206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竞赛时间</w:t>
            </w:r>
          </w:p>
        </w:tc>
      </w:tr>
      <w:tr>
        <w:tblPrEx>
          <w:tblLayout w:type="fixed"/>
          <w:tblCellMar>
            <w:top w:w="0" w:type="dxa"/>
            <w:left w:w="108" w:type="dxa"/>
            <w:bottom w:w="0" w:type="dxa"/>
            <w:right w:w="108" w:type="dxa"/>
          </w:tblCellMar>
        </w:tblPrEx>
        <w:trPr>
          <w:trHeight w:val="285" w:hRule="atLeast"/>
        </w:trPr>
        <w:tc>
          <w:tcPr>
            <w:tcW w:w="198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网络平台搭建</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权重9%</w:t>
            </w:r>
          </w:p>
        </w:tc>
        <w:tc>
          <w:tcPr>
            <w:tcW w:w="2064" w:type="dxa"/>
            <w:vMerge w:val="restart"/>
            <w:tcBorders>
              <w:top w:val="nil"/>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24"/>
                <w:szCs w:val="24"/>
                <w14:textFill>
                  <w14:solidFill>
                    <w14:schemeClr w14:val="tx1"/>
                  </w14:solidFill>
                </w14:textFill>
              </w:rPr>
              <w:t>300分钟</w:t>
            </w:r>
          </w:p>
        </w:tc>
      </w:tr>
      <w:tr>
        <w:tblPrEx>
          <w:tblLayout w:type="fixed"/>
          <w:tblCellMar>
            <w:top w:w="0" w:type="dxa"/>
            <w:left w:w="108" w:type="dxa"/>
            <w:bottom w:w="0" w:type="dxa"/>
            <w:right w:w="108" w:type="dxa"/>
          </w:tblCellMar>
        </w:tblPrEx>
        <w:trPr>
          <w:trHeight w:val="285"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网络安全设备配置与防护</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权重21%</w:t>
            </w:r>
          </w:p>
        </w:tc>
        <w:tc>
          <w:tcPr>
            <w:tcW w:w="2064" w:type="dxa"/>
            <w:vMerge w:val="continue"/>
            <w:tcBorders>
              <w:left w:val="nil"/>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系统安全攻防及运维安全管控</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2064" w:type="dxa"/>
            <w:vMerge w:val="continue"/>
            <w:tcBorders>
              <w:left w:val="nil"/>
              <w:bottom w:val="single" w:color="auto" w:sz="4" w:space="0"/>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285" w:hRule="atLeast"/>
        </w:trPr>
        <w:tc>
          <w:tcPr>
            <w:tcW w:w="198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权重40%</w:t>
            </w:r>
          </w:p>
        </w:tc>
        <w:tc>
          <w:tcPr>
            <w:tcW w:w="4252" w:type="dxa"/>
            <w:tcBorders>
              <w:top w:val="nil"/>
              <w:left w:val="nil"/>
              <w:bottom w:val="single" w:color="auto" w:sz="4" w:space="0"/>
              <w:right w:val="single" w:color="auto" w:sz="4" w:space="0"/>
            </w:tcBorders>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分组对抗</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权重40%</w:t>
            </w:r>
          </w:p>
        </w:tc>
        <w:tc>
          <w:tcPr>
            <w:tcW w:w="2064" w:type="dxa"/>
            <w:tcBorders>
              <w:top w:val="nil"/>
              <w:left w:val="nil"/>
              <w:bottom w:val="single" w:color="auto" w:sz="4" w:space="0"/>
              <w:right w:val="single" w:color="auto" w:sz="4" w:space="0"/>
            </w:tcBorders>
            <w:vAlign w:val="center"/>
          </w:tcPr>
          <w:p>
            <w:pPr>
              <w:widowControl/>
              <w:adjustRightInd w:val="0"/>
              <w:snapToGrid w:val="0"/>
              <w:jc w:val="center"/>
              <w:rPr>
                <w:rFonts w:ascii="仿宋" w:hAnsi="仿宋" w:eastAsia="仿宋" w:cs="Calibri"/>
                <w:color w:val="000000" w:themeColor="text1"/>
                <w:kern w:val="0"/>
                <w:sz w:val="24"/>
                <w:szCs w:val="24"/>
                <w14:textFill>
                  <w14:solidFill>
                    <w14:schemeClr w14:val="tx1"/>
                  </w14:solidFill>
                </w14:textFill>
              </w:rPr>
            </w:pPr>
            <w:r>
              <w:rPr>
                <w:rFonts w:hint="eastAsia" w:ascii="仿宋" w:hAnsi="仿宋" w:eastAsia="仿宋" w:cs="Calibri"/>
                <w:color w:val="000000" w:themeColor="text1"/>
                <w:kern w:val="0"/>
                <w:sz w:val="24"/>
                <w:szCs w:val="24"/>
                <w14:textFill>
                  <w14:solidFill>
                    <w14:schemeClr w14:val="tx1"/>
                  </w14:solidFill>
                </w14:textFill>
              </w:rPr>
              <w:t>60分钟</w:t>
            </w:r>
          </w:p>
        </w:tc>
      </w:tr>
    </w:tbl>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2" w:firstLineChars="200"/>
        <w:jc w:val="both"/>
        <w:textAlignment w:val="auto"/>
        <w:rPr>
          <w:rFonts w:ascii="仿宋" w:hAnsi="仿宋" w:eastAsia="仿宋"/>
          <w:bCs w:val="0"/>
          <w:color w:val="000000" w:themeColor="text1"/>
          <w:kern w:val="2"/>
          <w:sz w:val="28"/>
          <w:szCs w:val="28"/>
          <w14:textFill>
            <w14:solidFill>
              <w14:schemeClr w14:val="tx1"/>
            </w14:solidFill>
          </w14:textFill>
        </w:rPr>
      </w:pPr>
      <w:r>
        <w:rPr>
          <w:rFonts w:hint="eastAsia" w:ascii="仿宋" w:hAnsi="仿宋" w:eastAsia="仿宋"/>
          <w:bCs w:val="0"/>
          <w:color w:val="000000" w:themeColor="text1"/>
          <w:kern w:val="2"/>
          <w:sz w:val="28"/>
          <w:szCs w:val="28"/>
          <w14:textFill>
            <w14:solidFill>
              <w14:schemeClr w14:val="tx1"/>
            </w14:solidFill>
          </w14:textFill>
        </w:rPr>
        <w:t>四、竞赛方式</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1.本赛项为团体赛，以院校为单位组队参赛，不得跨校组队，同一学校相同项目报名参赛队不超过1支。每支参赛队由3名选手（设队长1名）和不超过2名指导教师组成。</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2.不邀请国际团队参赛，欢迎国际团队到场观赛。</w:t>
      </w:r>
    </w:p>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Cs w:val="0"/>
          <w:color w:val="000000" w:themeColor="text1"/>
          <w:kern w:val="2"/>
          <w:sz w:val="28"/>
          <w:szCs w:val="28"/>
          <w14:textFill>
            <w14:solidFill>
              <w14:schemeClr w14:val="tx1"/>
            </w14:solidFill>
          </w14:textFill>
        </w:rPr>
        <w:t>五、竞赛流程</w:t>
      </w:r>
    </w:p>
    <w:p>
      <w:pPr>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default" w:ascii="仿宋" w:hAnsi="仿宋" w:eastAsia="仿宋" w:cs="Times New Roman"/>
          <w:bCs/>
          <w:color w:val="000000" w:themeColor="text1"/>
          <w:kern w:val="28"/>
          <w:sz w:val="28"/>
          <w:szCs w:val="28"/>
          <w:lang w:val="en-US"/>
          <w14:textFill>
            <w14:solidFill>
              <w14:schemeClr w14:val="tx1"/>
            </w14:solidFill>
          </w14:textFill>
        </w:rPr>
        <w:t xml:space="preserve">    </w:t>
      </w:r>
      <w:r>
        <w:rPr>
          <w:rFonts w:hint="eastAsia" w:ascii="仿宋" w:hAnsi="仿宋" w:eastAsia="仿宋" w:cs="Times New Roman"/>
          <w:bCs/>
          <w:color w:val="000000" w:themeColor="text1"/>
          <w:kern w:val="28"/>
          <w:sz w:val="28"/>
          <w:szCs w:val="28"/>
          <w14:textFill>
            <w14:solidFill>
              <w14:schemeClr w14:val="tx1"/>
            </w14:solidFill>
          </w14:textFill>
        </w:rPr>
        <w:t>（一）竞赛流程图</w:t>
      </w: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r>
        <w:rPr>
          <w:rFonts w:ascii="仿宋" w:hAnsi="仿宋" w:eastAsia="仿宋" w:cs="宋体"/>
          <w:bCs/>
          <w:color w:val="000000" w:themeColor="text1"/>
          <w:kern w:val="0"/>
          <w:sz w:val="24"/>
          <w:szCs w:val="24"/>
          <w14:textFill>
            <w14:solidFill>
              <w14:schemeClr w14:val="tx1"/>
            </w14:solidFill>
          </w14:textFill>
        </w:rPr>
        <w:drawing>
          <wp:anchor distT="0" distB="0" distL="114300" distR="114300" simplePos="0" relativeHeight="251657216" behindDoc="0" locked="0" layoutInCell="1" allowOverlap="1">
            <wp:simplePos x="0" y="0"/>
            <wp:positionH relativeFrom="column">
              <wp:posOffset>3810</wp:posOffset>
            </wp:positionH>
            <wp:positionV relativeFrom="paragraph">
              <wp:posOffset>45085</wp:posOffset>
            </wp:positionV>
            <wp:extent cx="5276850" cy="6303645"/>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83577" cy="6311603"/>
                    </a:xfrm>
                    <a:prstGeom prst="rect">
                      <a:avLst/>
                    </a:prstGeom>
                    <a:noFill/>
                    <a:ln>
                      <a:noFill/>
                    </a:ln>
                  </pic:spPr>
                </pic:pic>
              </a:graphicData>
            </a:graphic>
          </wp:anchor>
        </w:drawing>
      </w: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宋体"/>
          <w:bCs/>
          <w:color w:val="000000" w:themeColor="text1"/>
          <w:kern w:val="0"/>
          <w:sz w:val="28"/>
          <w:szCs w:val="28"/>
          <w14:textFill>
            <w14:solidFill>
              <w14:schemeClr w14:val="tx1"/>
            </w14:solidFill>
          </w14:textFill>
        </w:rPr>
      </w:pPr>
    </w:p>
    <w:p>
      <w:pPr>
        <w:adjustRightInd w:val="0"/>
        <w:snapToGrid w:val="0"/>
        <w:spacing w:line="560" w:lineRule="exact"/>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（二）竞赛时间</w:t>
      </w:r>
      <w:r>
        <w:rPr>
          <w:rFonts w:ascii="仿宋" w:hAnsi="仿宋" w:eastAsia="仿宋" w:cs="Times New Roman"/>
          <w:bCs/>
          <w:color w:val="000000" w:themeColor="text1"/>
          <w:kern w:val="28"/>
          <w:sz w:val="28"/>
          <w:szCs w:val="28"/>
          <w14:textFill>
            <w14:solidFill>
              <w14:schemeClr w14:val="tx1"/>
            </w14:solidFill>
          </w14:textFill>
        </w:rPr>
        <w:t>表</w:t>
      </w:r>
    </w:p>
    <w:p>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比赛限定在1天内进行，</w:t>
      </w:r>
      <w:r>
        <w:rPr>
          <w:rFonts w:hint="eastAsia" w:ascii="仿宋" w:hAnsi="仿宋" w:eastAsia="仿宋"/>
          <w:color w:val="000000" w:themeColor="text1"/>
          <w:sz w:val="28"/>
          <w:szCs w:val="28"/>
          <w14:textFill>
            <w14:solidFill>
              <w14:schemeClr w14:val="tx1"/>
            </w14:solidFill>
          </w14:textFill>
        </w:rPr>
        <w:t>比赛</w:t>
      </w:r>
      <w:r>
        <w:rPr>
          <w:rFonts w:ascii="仿宋" w:hAnsi="仿宋" w:eastAsia="仿宋"/>
          <w:color w:val="000000" w:themeColor="text1"/>
          <w:sz w:val="28"/>
          <w:szCs w:val="28"/>
          <w14:textFill>
            <w14:solidFill>
              <w14:schemeClr w14:val="tx1"/>
            </w14:solidFill>
          </w14:textFill>
        </w:rPr>
        <w:t>场次为</w:t>
      </w:r>
      <w:r>
        <w:rPr>
          <w:rFonts w:hint="eastAsia" w:ascii="仿宋" w:hAnsi="仿宋" w:eastAsia="仿宋"/>
          <w:color w:val="000000" w:themeColor="text1"/>
          <w:sz w:val="28"/>
          <w:szCs w:val="28"/>
          <w14:textFill>
            <w14:solidFill>
              <w14:schemeClr w14:val="tx1"/>
            </w14:solidFill>
          </w14:textFill>
        </w:rPr>
        <w:t>1场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赛项竞赛时间为</w:t>
      </w:r>
      <w:r>
        <w:rPr>
          <w:rFonts w:ascii="仿宋" w:hAnsi="仿宋" w:eastAsia="仿宋"/>
          <w:color w:val="000000" w:themeColor="text1"/>
          <w:sz w:val="28"/>
          <w:szCs w:val="28"/>
          <w14:textFill>
            <w14:solidFill>
              <w14:schemeClr w14:val="tx1"/>
            </w14:solidFill>
          </w14:textFill>
        </w:rPr>
        <w:t>6小时，时间为9:00-15:00</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具体安排如下：</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96" w:type="dxa"/>
            <w:gridSpan w:val="2"/>
            <w:vAlign w:val="bottom"/>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07:30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裁判进入裁判室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 xml:space="preserve">08:00-08:30 </w:t>
            </w:r>
          </w:p>
        </w:tc>
        <w:tc>
          <w:tcPr>
            <w:tcW w:w="6360" w:type="dxa"/>
            <w:vAlign w:val="bottom"/>
          </w:tcPr>
          <w:p>
            <w:pPr>
              <w:widowControl/>
              <w:adjustRightInd w:val="0"/>
              <w:snapToGrid w:val="0"/>
              <w:jc w:val="left"/>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选手抽签，一次加密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08:30-08:50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选手抽签，二次加密及入场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08:50-09:00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参赛代表队就位，宣读考场纪律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09:00-09:15</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第一阶段和第二阶段赛题发放时间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09:15-13:30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第一阶段和第二阶段正式比赛时间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13:30-14:00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第一阶段与第二阶段比赛结果提交时间，三次加密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14:00-14:15</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第三阶段赛题发放时间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14:15-15:00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第三阶段正式比赛时间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936" w:type="dxa"/>
            <w:vAlign w:val="bottom"/>
          </w:tcPr>
          <w:p>
            <w:pPr>
              <w:widowControl/>
              <w:adjustRightInd w:val="0"/>
              <w:snapToGrid w:val="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15:00</w:t>
            </w:r>
          </w:p>
        </w:tc>
        <w:tc>
          <w:tcPr>
            <w:tcW w:w="6360" w:type="dxa"/>
            <w:vAlign w:val="bottom"/>
          </w:tcPr>
          <w:p>
            <w:pPr>
              <w:widowControl/>
              <w:adjustRightInd w:val="0"/>
              <w:snapToGrid w:val="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比赛正式结束</w:t>
            </w:r>
          </w:p>
        </w:tc>
      </w:tr>
    </w:tbl>
    <w:p>
      <w:pPr>
        <w:pageBreakBefore w:val="0"/>
        <w:widowControl w:val="0"/>
        <w:kinsoku/>
        <w:wordWrap/>
        <w:overflowPunct/>
        <w:topLinePunct w:val="0"/>
        <w:autoSpaceDE/>
        <w:autoSpaceDN/>
        <w:bidi w:val="0"/>
        <w:adjustRightInd w:val="0"/>
        <w:snapToGrid w:val="0"/>
        <w:spacing w:line="560" w:lineRule="exact"/>
        <w:ind w:right="0" w:rightChars="0" w:firstLine="549" w:firstLineChars="196"/>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备注：第一阶段和第二阶段赛题在开始比赛时同时发放，并于13：30统一提交答题成果，交卷完毕后发放第三阶段赛题。</w:t>
      </w:r>
    </w:p>
    <w:p>
      <w:pPr>
        <w:pageBreakBefore w:val="0"/>
        <w:widowControl w:val="0"/>
        <w:kinsoku/>
        <w:wordWrap/>
        <w:overflowPunct/>
        <w:topLinePunct w:val="0"/>
        <w:autoSpaceDE/>
        <w:autoSpaceDN/>
        <w:bidi w:val="0"/>
        <w:adjustRightInd w:val="0"/>
        <w:snapToGrid w:val="0"/>
        <w:spacing w:line="560" w:lineRule="exact"/>
        <w:ind w:right="0" w:rightChars="0" w:firstLine="549" w:firstLineChars="196"/>
        <w:jc w:val="both"/>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参赛选手午餐时间由大赛组委会统一安排，就餐时间计入比赛时间。</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六、竞赛试题</w:t>
      </w:r>
    </w:p>
    <w:p>
      <w:pPr>
        <w:pageBreakBefore w:val="0"/>
        <w:widowControl w:val="0"/>
        <w:kinsoku/>
        <w:wordWrap/>
        <w:overflowPunct/>
        <w:topLinePunct w:val="0"/>
        <w:autoSpaceDE/>
        <w:autoSpaceDN/>
        <w:bidi w:val="0"/>
        <w:adjustRightInd w:val="0"/>
        <w:snapToGrid w:val="0"/>
        <w:spacing w:line="560" w:lineRule="exact"/>
        <w:ind w:right="0" w:rightChars="0" w:firstLine="549" w:firstLineChars="196"/>
        <w:jc w:val="both"/>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（一）赛项执委会下设的命题专家组负责本赛项命题工作。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（二）本赛项为公开赛题，竞赛试题</w:t>
      </w:r>
      <w:r>
        <w:rPr>
          <w:rFonts w:hint="eastAsia" w:ascii="仿宋" w:hAnsi="仿宋" w:eastAsia="仿宋"/>
          <w:color w:val="000000" w:themeColor="text1"/>
          <w:sz w:val="28"/>
          <w:szCs w:val="28"/>
          <w14:textFill>
            <w14:solidFill>
              <w14:schemeClr w14:val="tx1"/>
            </w14:solidFill>
          </w14:textFill>
        </w:rPr>
        <w:t>距国赛开始日1月之前公开。</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（三）本赛项通过全国职业院校技能大赛指定的网络信息发布平台（</w:t>
      </w:r>
      <w:r>
        <w:rPr>
          <w:rFonts w:ascii="仿宋" w:hAnsi="仿宋" w:eastAsia="仿宋" w:cs="Times New Roman"/>
          <w:color w:val="000000" w:themeColor="text1"/>
          <w:sz w:val="28"/>
          <w:szCs w:val="28"/>
          <w14:textFill>
            <w14:solidFill>
              <w14:schemeClr w14:val="tx1"/>
            </w14:solidFill>
          </w14:textFill>
        </w:rPr>
        <w:t>http://www.chinaskills-jsw.org</w:t>
      </w:r>
      <w:r>
        <w:rPr>
          <w:rFonts w:hint="eastAsia" w:ascii="仿宋" w:hAnsi="仿宋" w:eastAsia="仿宋" w:cs="Times New Roman"/>
          <w:color w:val="000000" w:themeColor="text1"/>
          <w:sz w:val="28"/>
          <w:szCs w:val="28"/>
          <w14:textFill>
            <w14:solidFill>
              <w14:schemeClr w14:val="tx1"/>
            </w14:solidFill>
          </w14:textFill>
        </w:rPr>
        <w:t>）公布竞赛试题库。</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七、竞赛规则</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（一）报名资格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参赛选手须为</w:t>
      </w:r>
      <w:r>
        <w:rPr>
          <w:rFonts w:hint="eastAsia" w:ascii="仿宋" w:hAnsi="仿宋" w:eastAsia="仿宋" w:cs="仿宋"/>
          <w:color w:val="000000" w:themeColor="text1"/>
          <w:sz w:val="28"/>
          <w:szCs w:val="28"/>
          <w14:textFill>
            <w14:solidFill>
              <w14:schemeClr w14:val="tx1"/>
            </w14:solidFill>
          </w14:textFill>
        </w:rPr>
        <w:t>3名</w:t>
      </w:r>
      <w:r>
        <w:rPr>
          <w:rFonts w:ascii="仿宋" w:hAnsi="仿宋" w:eastAsia="仿宋" w:cs="仿宋"/>
          <w:color w:val="000000" w:themeColor="text1"/>
          <w:sz w:val="28"/>
          <w:szCs w:val="28"/>
          <w14:textFill>
            <w14:solidFill>
              <w14:schemeClr w14:val="tx1"/>
            </w14:solidFill>
          </w14:textFill>
        </w:rPr>
        <w:t>2016</w:t>
      </w:r>
      <w:r>
        <w:rPr>
          <w:rFonts w:hint="eastAsia" w:ascii="仿宋" w:hAnsi="仿宋" w:eastAsia="仿宋" w:cs="仿宋"/>
          <w:color w:val="000000" w:themeColor="text1"/>
          <w:sz w:val="28"/>
          <w:szCs w:val="28"/>
          <w14:textFill>
            <w14:solidFill>
              <w14:schemeClr w14:val="tx1"/>
            </w14:solidFill>
          </w14:textFill>
        </w:rPr>
        <w:t>年度</w:t>
      </w:r>
      <w:r>
        <w:rPr>
          <w:rFonts w:hint="eastAsia" w:ascii="仿宋" w:hAnsi="仿宋" w:eastAsia="仿宋"/>
          <w:color w:val="000000" w:themeColor="text1"/>
          <w:sz w:val="28"/>
          <w:szCs w:val="28"/>
          <w14:textFill>
            <w14:solidFill>
              <w14:schemeClr w14:val="tx1"/>
            </w14:solidFill>
          </w14:textFill>
        </w:rPr>
        <w:t>高等学校全日制在籍学生</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本科院校中高职类全日制在籍学生；五年制高职四、五年级学生可报名参加高职组比赛。高职组参赛选手年龄须不超过</w:t>
      </w:r>
      <w:r>
        <w:rPr>
          <w:rFonts w:ascii="仿宋" w:hAnsi="仿宋" w:eastAsia="仿宋"/>
          <w:color w:val="000000" w:themeColor="text1"/>
          <w:sz w:val="28"/>
          <w:szCs w:val="28"/>
          <w14:textFill>
            <w14:solidFill>
              <w14:schemeClr w14:val="tx1"/>
            </w14:solidFill>
          </w14:textFill>
        </w:rPr>
        <w:t>25</w:t>
      </w:r>
      <w:r>
        <w:rPr>
          <w:rFonts w:hint="eastAsia" w:ascii="仿宋" w:hAnsi="仿宋" w:eastAsia="仿宋"/>
          <w:color w:val="000000" w:themeColor="text1"/>
          <w:sz w:val="28"/>
          <w:szCs w:val="28"/>
          <w14:textFill>
            <w14:solidFill>
              <w14:schemeClr w14:val="tx1"/>
            </w14:solidFill>
          </w14:textFill>
        </w:rPr>
        <w:t>周岁（当年），年龄计算的截止时间以</w:t>
      </w:r>
      <w:r>
        <w:rPr>
          <w:rFonts w:ascii="仿宋" w:hAnsi="仿宋" w:eastAsia="仿宋"/>
          <w:color w:val="000000" w:themeColor="text1"/>
          <w:sz w:val="28"/>
          <w:szCs w:val="28"/>
          <w14:textFill>
            <w14:solidFill>
              <w14:schemeClr w14:val="tx1"/>
            </w14:solidFill>
          </w14:textFill>
        </w:rPr>
        <w:t>2016</w:t>
      </w:r>
      <w:r>
        <w:rPr>
          <w:rFonts w:hint="eastAsia" w:ascii="仿宋" w:hAnsi="仿宋" w:eastAsia="仿宋"/>
          <w:color w:val="000000" w:themeColor="text1"/>
          <w:sz w:val="28"/>
          <w:szCs w:val="28"/>
          <w14:textFill>
            <w14:solidFill>
              <w14:schemeClr w14:val="tx1"/>
            </w14:solidFill>
          </w14:textFill>
        </w:rPr>
        <w:t>年</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月</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日为准。</w:t>
      </w:r>
      <w:r>
        <w:rPr>
          <w:rFonts w:hint="eastAsia" w:ascii="仿宋" w:hAnsi="仿宋" w:eastAsia="仿宋" w:cs="仿宋_GB2312"/>
          <w:color w:val="000000" w:themeColor="text1"/>
          <w:sz w:val="28"/>
          <w:szCs w:val="28"/>
          <w14:textFill>
            <w14:solidFill>
              <w14:schemeClr w14:val="tx1"/>
            </w14:solidFill>
          </w14:textFill>
        </w:rPr>
        <w:t>凡在往届本赛项全国大赛中获一等奖的学生，不再参加同一项目</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同一组别</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的全国大赛。</w:t>
      </w:r>
    </w:p>
    <w:p>
      <w:pPr>
        <w:pageBreakBefore w:val="0"/>
        <w:widowControl w:val="0"/>
        <w:kinsoku/>
        <w:wordWrap/>
        <w:overflowPunct/>
        <w:topLinePunct w:val="0"/>
        <w:autoSpaceDE/>
        <w:autoSpaceDN/>
        <w:bidi w:val="0"/>
        <w:adjustRightInd w:val="0"/>
        <w:snapToGrid w:val="0"/>
        <w:spacing w:line="560" w:lineRule="exact"/>
        <w:ind w:right="0" w:rightChars="0" w:firstLine="549" w:firstLineChars="196"/>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（二）竞赛工位通过抽签决定，竞赛期间参赛选手不得离开竞赛工位。</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竞赛所需的硬件设备、系统软件和辅助工具由组委会统一安排，参赛选手不得自带硬件设备、软件、移动存储、辅助工具、移动通信等进入竞赛现场。</w:t>
      </w:r>
    </w:p>
    <w:p>
      <w:pPr>
        <w:pageBreakBefore w:val="0"/>
        <w:widowControl w:val="0"/>
        <w:kinsoku/>
        <w:wordWrap/>
        <w:overflowPunct/>
        <w:topLinePunct w:val="0"/>
        <w:autoSpaceDE/>
        <w:autoSpaceDN/>
        <w:bidi w:val="0"/>
        <w:adjustRightInd w:val="0"/>
        <w:snapToGrid w:val="0"/>
        <w:spacing w:line="560" w:lineRule="exact"/>
        <w:ind w:left="560"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参赛队自行决定选手分工、工作程序和时间安排。</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参赛队在赛前10分钟进入竞赛工位并领取竞赛任务，竞赛正式开始后方可展开相关工作。</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（六</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竞赛过程中，选手须严格遵守操作规程，确保人身及设备安全，并接受裁判员的监督和警示。若因选手因素造成设备故障或损坏，无法继续竞赛，裁判长有权决定终止该队竞赛；若因非参赛选手个人因素造成设备故障，由裁判长视具体情况做出裁决。</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（七</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竞赛结束（或提前完成）后，参赛队要确认已成功提交所有竞赛文档，裁判员与参赛队队长一起签字确认，参赛队在确认后不得再进行任何操作。</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八、竞赛环境</w:t>
      </w:r>
    </w:p>
    <w:p>
      <w:pPr>
        <w:pageBreakBefore w:val="0"/>
        <w:widowControl w:val="0"/>
        <w:kinsoku/>
        <w:wordWrap/>
        <w:overflowPunct/>
        <w:topLinePunct w:val="0"/>
        <w:autoSpaceDE/>
        <w:autoSpaceDN/>
        <w:bidi w:val="0"/>
        <w:adjustRightInd w:val="0"/>
        <w:snapToGrid w:val="0"/>
        <w:spacing w:line="560" w:lineRule="exact"/>
        <w:ind w:right="0" w:rightChars="0" w:firstLine="549" w:firstLineChars="196"/>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竞赛工位内设有操作平台，每工位配备220V电源，工位内的电缆线应符合安全要求。每个竞赛工位面积≥6</w:t>
      </w:r>
      <w:r>
        <w:rPr>
          <w:rFonts w:hint="eastAsia" w:ascii="仿宋" w:hAnsi="仿宋" w:eastAsia="仿宋" w:cs="宋体"/>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，确保参赛队之间互不干扰。竞赛工位标明工位号，并配备竞赛平台和技术工作要求的软、硬件。环境标准要求保证赛场采光(大于500lux)、照明和通风良好；每支参赛队提供一个垃圾箱。</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了竞赛工位之外，同时设计了成果展示区、体验区、观摩区。成果展示区主要展示大赛配套教材、资源包等内容；体验区主要展示竞赛设备以及相关新技术、新产品；观摩区主要展示信息安全攻防对战的实时进度。</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九、技术规范</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该赛项涉及的信息网络安全工程在设计、组建过程中，主要有以下7项国家标准，参赛队在实施竞赛项目中要求遵循如下规范：</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hint="eastAsia" w:ascii="仿宋" w:hAnsi="仿宋" w:eastAsia="仿宋"/>
          <w:color w:val="000000" w:themeColor="text1"/>
          <w:sz w:val="28"/>
          <w:szCs w:val="28"/>
          <w14:textFill>
            <w14:solidFill>
              <w14:schemeClr w14:val="tx1"/>
            </w14:solidFill>
          </w14:textFill>
        </w:rPr>
      </w:pP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b/>
                <w:bCs/>
                <w:color w:val="000000" w:themeColor="text1"/>
                <w:kern w:val="0"/>
                <w:sz w:val="24"/>
                <w:szCs w:val="24"/>
                <w14:textFill>
                  <w14:solidFill>
                    <w14:schemeClr w14:val="tx1"/>
                  </w14:solidFill>
                </w14:textFill>
              </w:rPr>
            </w:pPr>
            <w:r>
              <w:rPr>
                <w:rFonts w:hint="eastAsia" w:ascii="仿宋" w:hAnsi="仿宋" w:eastAsia="仿宋"/>
                <w:b/>
                <w:bCs/>
                <w:color w:val="000000" w:themeColor="text1"/>
                <w:kern w:val="0"/>
                <w:sz w:val="24"/>
                <w:szCs w:val="24"/>
                <w14:textFill>
                  <w14:solidFill>
                    <w14:schemeClr w14:val="tx1"/>
                  </w14:solidFill>
                </w14:textFill>
              </w:rPr>
              <w:t>序号</w:t>
            </w:r>
          </w:p>
        </w:tc>
        <w:tc>
          <w:tcPr>
            <w:tcW w:w="2126" w:type="dxa"/>
            <w:vAlign w:val="center"/>
          </w:tcPr>
          <w:p>
            <w:pPr>
              <w:adjustRightInd w:val="0"/>
              <w:snapToGrid w:val="0"/>
              <w:jc w:val="center"/>
              <w:rPr>
                <w:rFonts w:ascii="仿宋" w:hAnsi="仿宋" w:eastAsia="仿宋"/>
                <w:b/>
                <w:bCs/>
                <w:color w:val="000000" w:themeColor="text1"/>
                <w:kern w:val="0"/>
                <w:sz w:val="24"/>
                <w:szCs w:val="24"/>
                <w14:textFill>
                  <w14:solidFill>
                    <w14:schemeClr w14:val="tx1"/>
                  </w14:solidFill>
                </w14:textFill>
              </w:rPr>
            </w:pPr>
            <w:r>
              <w:rPr>
                <w:rFonts w:hint="eastAsia" w:ascii="仿宋" w:hAnsi="仿宋" w:eastAsia="仿宋"/>
                <w:b/>
                <w:bCs/>
                <w:color w:val="000000" w:themeColor="text1"/>
                <w:kern w:val="0"/>
                <w:sz w:val="24"/>
                <w:szCs w:val="24"/>
                <w14:textFill>
                  <w14:solidFill>
                    <w14:schemeClr w14:val="tx1"/>
                  </w14:solidFill>
                </w14:textFill>
              </w:rPr>
              <w:t>标准号</w:t>
            </w:r>
          </w:p>
        </w:tc>
        <w:tc>
          <w:tcPr>
            <w:tcW w:w="5466" w:type="dxa"/>
            <w:vAlign w:val="center"/>
          </w:tcPr>
          <w:p>
            <w:pPr>
              <w:adjustRightInd w:val="0"/>
              <w:snapToGrid w:val="0"/>
              <w:jc w:val="center"/>
              <w:rPr>
                <w:rFonts w:ascii="仿宋" w:hAnsi="仿宋" w:eastAsia="仿宋"/>
                <w:b/>
                <w:bCs/>
                <w:color w:val="000000" w:themeColor="text1"/>
                <w:kern w:val="0"/>
                <w:sz w:val="24"/>
                <w:szCs w:val="24"/>
                <w14:textFill>
                  <w14:solidFill>
                    <w14:schemeClr w14:val="tx1"/>
                  </w14:solidFill>
                </w14:textFill>
              </w:rPr>
            </w:pPr>
            <w:r>
              <w:rPr>
                <w:rFonts w:hint="eastAsia" w:ascii="仿宋" w:hAnsi="仿宋" w:eastAsia="仿宋"/>
                <w:b/>
                <w:bCs/>
                <w:color w:val="000000" w:themeColor="text1"/>
                <w:kern w:val="0"/>
                <w:sz w:val="24"/>
                <w:szCs w:val="24"/>
                <w14:textFill>
                  <w14:solidFill>
                    <w14:schemeClr w14:val="tx1"/>
                  </w14:solidFill>
                </w14:textFill>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1</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 17859-1999</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《计算机信息系统安全保护等级划分准则》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2</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GB/T 20271-2006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《信息安全技术信息系统通用安全技术要求》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3</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GB/T 20270-2006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《信息安全技术网络基础安全技术要求》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4</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GB/T 20272-2006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《信息安全技术操作系统安全技术要求》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ascii="仿宋" w:hAnsi="仿宋" w:eastAsia="仿宋"/>
                <w:color w:val="000000" w:themeColor="text1"/>
                <w:kern w:val="0"/>
                <w:sz w:val="24"/>
                <w:szCs w:val="24"/>
                <w14:textFill>
                  <w14:solidFill>
                    <w14:schemeClr w14:val="tx1"/>
                  </w14:solidFill>
                </w14:textFill>
              </w:rPr>
              <w:t>5</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GB/T 20273-2006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GA/T 671-2006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《信息安全技术终端计算机系统安全等级技术要求》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04" w:type="dxa"/>
            <w:vAlign w:val="center"/>
          </w:tcPr>
          <w:p>
            <w:pPr>
              <w:adjustRightInd w:val="0"/>
              <w:snapToGrid w:val="0"/>
              <w:jc w:val="center"/>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7</w:t>
            </w:r>
          </w:p>
        </w:tc>
        <w:tc>
          <w:tcPr>
            <w:tcW w:w="212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GB/T 20269-2006</w:t>
            </w:r>
          </w:p>
        </w:tc>
        <w:tc>
          <w:tcPr>
            <w:tcW w:w="5466" w:type="dxa"/>
            <w:vAlign w:val="center"/>
          </w:tcPr>
          <w:p>
            <w:pPr>
              <w:adjustRightInd w:val="0"/>
              <w:snapToGrid w:val="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《信息安全技术信息系统安全管理要求》</w:t>
            </w:r>
          </w:p>
        </w:tc>
      </w:tr>
    </w:tbl>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十、技术平台</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（一）竞赛软件</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竞赛组委会提供个人计算机（安装Windows操作系统），用以组建局域网和广域网，并安装Office等常用应用软件。</w:t>
      </w:r>
    </w:p>
    <w:tbl>
      <w:tblPr>
        <w:tblStyle w:val="12"/>
        <w:tblW w:w="8342" w:type="dxa"/>
        <w:jc w:val="center"/>
        <w:tblInd w:w="0" w:type="dxa"/>
        <w:tblLayout w:type="fixed"/>
        <w:tblCellMar>
          <w:top w:w="0" w:type="dxa"/>
          <w:left w:w="108" w:type="dxa"/>
          <w:bottom w:w="0" w:type="dxa"/>
          <w:right w:w="108" w:type="dxa"/>
        </w:tblCellMar>
      </w:tblPr>
      <w:tblGrid>
        <w:gridCol w:w="878"/>
        <w:gridCol w:w="4204"/>
        <w:gridCol w:w="3260"/>
      </w:tblGrid>
      <w:tr>
        <w:tblPrEx>
          <w:tblLayout w:type="fixed"/>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软件</w:t>
            </w:r>
          </w:p>
        </w:tc>
        <w:tc>
          <w:tcPr>
            <w:tcW w:w="3260"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介绍</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Windows</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操作系统</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Microsoft Office</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文档编辑工具</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TFTP服务器</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设备配置文件上传、下载工具</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超级终端</w:t>
            </w:r>
          </w:p>
        </w:tc>
        <w:tc>
          <w:tcPr>
            <w:tcW w:w="3260"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设备调试连接工具</w:t>
            </w:r>
          </w:p>
        </w:tc>
      </w:tr>
    </w:tbl>
    <w:p>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竞赛组委会提供服务器环境，按照大赛要求提供网络服务。</w:t>
      </w:r>
    </w:p>
    <w:tbl>
      <w:tblPr>
        <w:tblStyle w:val="12"/>
        <w:tblW w:w="8359" w:type="dxa"/>
        <w:jc w:val="center"/>
        <w:tblInd w:w="0" w:type="dxa"/>
        <w:tblLayout w:type="fixed"/>
        <w:tblCellMar>
          <w:top w:w="0" w:type="dxa"/>
          <w:left w:w="108" w:type="dxa"/>
          <w:bottom w:w="0" w:type="dxa"/>
          <w:right w:w="108" w:type="dxa"/>
        </w:tblCellMar>
      </w:tblPr>
      <w:tblGrid>
        <w:gridCol w:w="878"/>
        <w:gridCol w:w="4204"/>
        <w:gridCol w:w="3277"/>
      </w:tblGrid>
      <w:tr>
        <w:tblPrEx>
          <w:tblLayout w:type="fixed"/>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软件</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介绍</w:t>
            </w:r>
          </w:p>
        </w:tc>
      </w:tr>
      <w:tr>
        <w:tblPrEx>
          <w:tblLayout w:type="fixed"/>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shd w:val="clear" w:color="000000" w:fill="auto"/>
            <w:vAlign w:val="center"/>
          </w:tcPr>
          <w:p>
            <w:pPr>
              <w:adjustRightInd w:val="0"/>
              <w:snapToGrid w:val="0"/>
              <w:jc w:val="center"/>
              <w:rPr>
                <w:rFonts w:ascii="仿宋" w:hAnsi="仿宋" w:eastAsia="仿宋" w:cs="宋体"/>
                <w:bCs/>
                <w:color w:val="000000" w:themeColor="text1"/>
                <w:kern w:val="0"/>
                <w:sz w:val="24"/>
                <w:szCs w:val="24"/>
                <w14:textFill>
                  <w14:solidFill>
                    <w14:schemeClr w14:val="tx1"/>
                  </w14:solidFill>
                </w14:textFill>
              </w:rPr>
            </w:pPr>
            <w:r>
              <w:rPr>
                <w:rFonts w:hint="eastAsia" w:ascii="仿宋" w:hAnsi="仿宋" w:eastAsia="仿宋" w:cs="宋体"/>
                <w:bCs/>
                <w:color w:val="000000" w:themeColor="text1"/>
                <w:kern w:val="0"/>
                <w:sz w:val="24"/>
                <w:szCs w:val="24"/>
                <w14:textFill>
                  <w14:solidFill>
                    <w14:schemeClr w14:val="tx1"/>
                  </w14:solidFill>
                </w14:textFill>
              </w:rPr>
              <w:t>1</w:t>
            </w:r>
          </w:p>
        </w:tc>
        <w:tc>
          <w:tcPr>
            <w:tcW w:w="4204"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Cs/>
                <w:color w:val="000000" w:themeColor="text1"/>
                <w:kern w:val="0"/>
                <w:sz w:val="24"/>
                <w:szCs w:val="24"/>
                <w14:textFill>
                  <w14:solidFill>
                    <w14:schemeClr w14:val="tx1"/>
                  </w14:solidFill>
                </w14:textFill>
              </w:rPr>
            </w:pPr>
            <w:r>
              <w:rPr>
                <w:rFonts w:ascii="仿宋" w:hAnsi="仿宋" w:eastAsia="仿宋" w:cs="宋体"/>
                <w:bCs/>
                <w:color w:val="000000" w:themeColor="text1"/>
                <w:kern w:val="0"/>
                <w:sz w:val="24"/>
                <w:szCs w:val="24"/>
                <w14:textFill>
                  <w14:solidFill>
                    <w14:schemeClr w14:val="tx1"/>
                  </w14:solidFill>
                </w14:textFill>
              </w:rPr>
              <w:t>W</w:t>
            </w:r>
            <w:r>
              <w:rPr>
                <w:rFonts w:hint="eastAsia" w:ascii="仿宋" w:hAnsi="仿宋" w:eastAsia="仿宋" w:cs="宋体"/>
                <w:bCs/>
                <w:color w:val="000000" w:themeColor="text1"/>
                <w:kern w:val="0"/>
                <w:sz w:val="24"/>
                <w:szCs w:val="24"/>
                <w14:textFill>
                  <w14:solidFill>
                    <w14:schemeClr w14:val="tx1"/>
                  </w14:solidFill>
                </w14:textFill>
              </w:rPr>
              <w:t>indows</w:t>
            </w:r>
            <w:r>
              <w:rPr>
                <w:rFonts w:ascii="仿宋" w:hAnsi="仿宋" w:eastAsia="仿宋" w:cs="宋体"/>
                <w:bCs/>
                <w:color w:val="000000" w:themeColor="text1"/>
                <w:kern w:val="0"/>
                <w:sz w:val="24"/>
                <w:szCs w:val="24"/>
                <w14:textFill>
                  <w14:solidFill>
                    <w14:schemeClr w14:val="tx1"/>
                  </w14:solidFill>
                </w14:textFill>
              </w:rPr>
              <w:t xml:space="preserve"> 7\Windows XP</w:t>
            </w:r>
          </w:p>
        </w:tc>
        <w:tc>
          <w:tcPr>
            <w:tcW w:w="3277" w:type="dxa"/>
            <w:tcBorders>
              <w:top w:val="single" w:color="auto" w:sz="4" w:space="0"/>
              <w:left w:val="nil"/>
              <w:bottom w:val="single" w:color="auto" w:sz="4" w:space="0"/>
              <w:right w:val="single" w:color="auto" w:sz="4" w:space="0"/>
            </w:tcBorders>
            <w:shd w:val="clear" w:color="000000" w:fill="auto"/>
            <w:vAlign w:val="center"/>
          </w:tcPr>
          <w:p>
            <w:pPr>
              <w:adjustRightInd w:val="0"/>
              <w:snapToGrid w:val="0"/>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服务器操作系统</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2</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Windows Server 2003</w:t>
            </w:r>
            <w:r>
              <w:rPr>
                <w:rFonts w:ascii="仿宋" w:hAnsi="仿宋" w:eastAsia="仿宋" w:cs="宋体"/>
                <w:color w:val="000000" w:themeColor="text1"/>
                <w:kern w:val="0"/>
                <w:sz w:val="24"/>
                <w:szCs w:val="24"/>
                <w14:textFill>
                  <w14:solidFill>
                    <w14:schemeClr w14:val="tx1"/>
                  </w14:solidFill>
                </w14:textFill>
              </w:rPr>
              <w:t>\2008</w:t>
            </w:r>
          </w:p>
        </w:tc>
        <w:tc>
          <w:tcPr>
            <w:tcW w:w="3277"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服务器操作系统</w:t>
            </w:r>
          </w:p>
        </w:tc>
      </w:tr>
      <w:tr>
        <w:tblPrEx>
          <w:tblLayout w:type="fixed"/>
          <w:tblCellMar>
            <w:top w:w="0" w:type="dxa"/>
            <w:left w:w="108" w:type="dxa"/>
            <w:bottom w:w="0" w:type="dxa"/>
            <w:right w:w="108" w:type="dxa"/>
          </w:tblCellMar>
        </w:tblPrEx>
        <w:trPr>
          <w:trHeight w:val="20" w:hRule="atLeast"/>
          <w:jc w:val="center"/>
        </w:trPr>
        <w:tc>
          <w:tcPr>
            <w:tcW w:w="878"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3</w:t>
            </w:r>
          </w:p>
        </w:tc>
        <w:tc>
          <w:tcPr>
            <w:tcW w:w="4204"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L</w:t>
            </w:r>
            <w:r>
              <w:rPr>
                <w:rFonts w:hint="eastAsia" w:ascii="仿宋" w:hAnsi="仿宋" w:eastAsia="仿宋" w:cs="宋体"/>
                <w:color w:val="000000" w:themeColor="text1"/>
                <w:kern w:val="0"/>
                <w:sz w:val="24"/>
                <w:szCs w:val="24"/>
                <w14:textFill>
                  <w14:solidFill>
                    <w14:schemeClr w14:val="tx1"/>
                  </w14:solidFill>
                </w14:textFill>
              </w:rPr>
              <w:t>inux AS4\AS5</w:t>
            </w:r>
          </w:p>
        </w:tc>
        <w:tc>
          <w:tcPr>
            <w:tcW w:w="3277"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服务器操作系统</w:t>
            </w:r>
          </w:p>
        </w:tc>
      </w:tr>
      <w:tr>
        <w:tblPrEx>
          <w:tblLayout w:type="fixed"/>
          <w:tblCellMar>
            <w:top w:w="0" w:type="dxa"/>
            <w:left w:w="108" w:type="dxa"/>
            <w:bottom w:w="0" w:type="dxa"/>
            <w:right w:w="108" w:type="dxa"/>
          </w:tblCellMar>
        </w:tblPrEx>
        <w:trPr>
          <w:trHeight w:val="2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4</w:t>
            </w:r>
          </w:p>
        </w:tc>
        <w:tc>
          <w:tcPr>
            <w:tcW w:w="4204"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ascii="仿宋" w:hAnsi="仿宋" w:eastAsia="仿宋" w:cs="宋体"/>
                <w:color w:val="000000" w:themeColor="text1"/>
                <w:kern w:val="0"/>
                <w:sz w:val="24"/>
                <w:szCs w:val="24"/>
                <w14:textFill>
                  <w14:solidFill>
                    <w14:schemeClr w14:val="tx1"/>
                  </w14:solidFill>
                </w14:textFill>
              </w:rPr>
              <w:t xml:space="preserve">Linux </w:t>
            </w:r>
            <w:r>
              <w:rPr>
                <w:rFonts w:hint="eastAsia" w:ascii="仿宋" w:hAnsi="仿宋" w:eastAsia="仿宋" w:cs="宋体"/>
                <w:color w:val="000000" w:themeColor="text1"/>
                <w:kern w:val="0"/>
                <w:sz w:val="24"/>
                <w:szCs w:val="24"/>
                <w14:textFill>
                  <w14:solidFill>
                    <w14:schemeClr w14:val="tx1"/>
                  </w14:solidFill>
                </w14:textFill>
              </w:rPr>
              <w:t>Cent</w:t>
            </w:r>
            <w:r>
              <w:rPr>
                <w:rFonts w:ascii="仿宋" w:hAnsi="仿宋" w:eastAsia="仿宋" w:cs="宋体"/>
                <w:color w:val="000000" w:themeColor="text1"/>
                <w:kern w:val="0"/>
                <w:sz w:val="24"/>
                <w:szCs w:val="24"/>
                <w14:textFill>
                  <w14:solidFill>
                    <w14:schemeClr w14:val="tx1"/>
                  </w14:solidFill>
                </w14:textFill>
              </w:rPr>
              <w:t>OS</w:t>
            </w:r>
          </w:p>
        </w:tc>
        <w:tc>
          <w:tcPr>
            <w:tcW w:w="3277"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服务器操作系统</w:t>
            </w:r>
          </w:p>
        </w:tc>
      </w:tr>
    </w:tbl>
    <w:p>
      <w:pPr>
        <w:adjustRightInd w:val="0"/>
        <w:snapToGrid w:val="0"/>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（二）竞赛设备清单</w:t>
      </w:r>
    </w:p>
    <w:tbl>
      <w:tblPr>
        <w:tblStyle w:val="12"/>
        <w:tblW w:w="8332" w:type="dxa"/>
        <w:jc w:val="center"/>
        <w:tblInd w:w="0" w:type="dxa"/>
        <w:tblLayout w:type="fixed"/>
        <w:tblCellMar>
          <w:top w:w="0" w:type="dxa"/>
          <w:left w:w="108" w:type="dxa"/>
          <w:bottom w:w="0" w:type="dxa"/>
          <w:right w:w="108" w:type="dxa"/>
        </w:tblCellMar>
      </w:tblPr>
      <w:tblGrid>
        <w:gridCol w:w="704"/>
        <w:gridCol w:w="1701"/>
        <w:gridCol w:w="2693"/>
        <w:gridCol w:w="993"/>
        <w:gridCol w:w="2241"/>
      </w:tblGrid>
      <w:tr>
        <w:tblPrEx>
          <w:tblLayout w:type="fixed"/>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170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类型</w:t>
            </w:r>
          </w:p>
        </w:tc>
        <w:tc>
          <w:tcPr>
            <w:tcW w:w="26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型号</w:t>
            </w:r>
          </w:p>
        </w:tc>
        <w:tc>
          <w:tcPr>
            <w:tcW w:w="99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数量</w:t>
            </w:r>
          </w:p>
        </w:tc>
        <w:tc>
          <w:tcPr>
            <w:tcW w:w="224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说明</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三层交换机</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神州数码DCRS-5650-28</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防火墙</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神州数码DCFW-1800S-H-V2</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堡垒服务器</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神州数码DCST-6000B</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4</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web应用防火墙</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神州数码DCFW-1800-WAF-LAB</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1222"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5</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网络日志系统</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神州数码DCBI-NetLog-LAB</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6</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网络流控系统</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神州数码DCFS-LAB</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r>
        <w:tblPrEx>
          <w:tblLayout w:type="fixed"/>
          <w:tblCellMar>
            <w:top w:w="0" w:type="dxa"/>
            <w:left w:w="108" w:type="dxa"/>
            <w:bottom w:w="0" w:type="dxa"/>
            <w:right w:w="108" w:type="dxa"/>
          </w:tblCellMar>
        </w:tblPrEx>
        <w:trPr>
          <w:trHeight w:val="20" w:hRule="atLeast"/>
          <w:jc w:val="center"/>
        </w:trPr>
        <w:tc>
          <w:tcPr>
            <w:tcW w:w="704" w:type="dxa"/>
            <w:tcBorders>
              <w:top w:val="nil"/>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170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PC机</w:t>
            </w:r>
          </w:p>
        </w:tc>
        <w:tc>
          <w:tcPr>
            <w:tcW w:w="2693"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多核CPU，主频1G、内存2G或以上</w:t>
            </w:r>
          </w:p>
        </w:tc>
        <w:tc>
          <w:tcPr>
            <w:tcW w:w="993" w:type="dxa"/>
            <w:tcBorders>
              <w:top w:val="nil"/>
              <w:left w:val="nil"/>
              <w:bottom w:val="single" w:color="auto" w:sz="4" w:space="0"/>
              <w:right w:val="single" w:color="auto" w:sz="4" w:space="0"/>
            </w:tcBorders>
            <w:vAlign w:val="center"/>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w:t>
            </w:r>
          </w:p>
        </w:tc>
        <w:tc>
          <w:tcPr>
            <w:tcW w:w="2241" w:type="dxa"/>
            <w:tcBorders>
              <w:top w:val="nil"/>
              <w:left w:val="nil"/>
              <w:bottom w:val="single" w:color="auto" w:sz="4" w:space="0"/>
              <w:right w:val="single" w:color="auto" w:sz="4" w:space="0"/>
            </w:tcBorders>
            <w:vAlign w:val="center"/>
          </w:tcPr>
          <w:p>
            <w:pPr>
              <w:adjustRightInd w:val="0"/>
              <w:snapToGrid w:val="0"/>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沿用2015年设备</w:t>
            </w:r>
          </w:p>
        </w:tc>
      </w:tr>
    </w:tbl>
    <w:p>
      <w:pPr>
        <w:pStyle w:val="2"/>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十一、成绩评定</w:t>
      </w:r>
    </w:p>
    <w:p>
      <w:pPr>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（一）裁判工作原则</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按照《201</w:t>
      </w:r>
      <w:r>
        <w:rPr>
          <w:rFonts w:ascii="仿宋" w:hAnsi="仿宋" w:eastAsia="仿宋"/>
          <w:b w:val="0"/>
          <w:color w:val="000000" w:themeColor="text1"/>
          <w:sz w:val="28"/>
          <w:szCs w:val="28"/>
          <w14:textFill>
            <w14:solidFill>
              <w14:schemeClr w14:val="tx1"/>
            </w14:solidFill>
          </w14:textFill>
        </w:rPr>
        <w:t>6</w:t>
      </w:r>
      <w:r>
        <w:rPr>
          <w:rFonts w:hint="eastAsia" w:ascii="仿宋" w:hAnsi="仿宋" w:eastAsia="仿宋"/>
          <w:b w:val="0"/>
          <w:color w:val="000000" w:themeColor="text1"/>
          <w:sz w:val="28"/>
          <w:szCs w:val="28"/>
          <w14:textFill>
            <w14:solidFill>
              <w14:schemeClr w14:val="tx1"/>
            </w14:solidFill>
          </w14:textFill>
        </w:rPr>
        <w:t>年全国职业院校技能大赛专家和裁判工作管理办法》建立全国职业院校技能大赛赛项裁判库，裁判长由赛项执委会向大赛执委会推荐，由大赛执委会聘任。赛前建立健全裁判组。裁判组为裁判长负责制，划分裁判小组（2人为一组），并设有专职督导人员1-2名，负责比赛过程全程监督，防止营私舞弊。本赛项计划需要裁判26名。分为加密裁判、现场裁判和评分裁判。</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赛项需进行三次加密，加密后参赛选手中途不得擅自离开赛场。分别由3组加密裁判组织实施加密工作，管理加密结果。监督员全程监督加密过程。</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第一组加密裁判，组织参赛选手进行第一次抽签，产生参赛编号，替换选手参赛证等个人身份信息，填写一次加密记录表连同选手参赛证等个人身份信息证件，装入一次加密结果密封袋中单独保管。</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第二组加密裁判，组织参赛选手进行第二次抽签，确定赛位号，替换选手参赛编号，填写二次加密记录表连同选手参赛编号，装入二次加密结果密封袋中单独保管。</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第三组加密裁判对提交的竞赛文档进行加密。确定竞赛文档号，替换赛位号，填写三次加密记录表，装入三次加密结果密封袋中单独保管。</w:t>
      </w:r>
    </w:p>
    <w:p>
      <w:pPr>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 xml:space="preserve">所有加密结果密封袋的封条均需相应加密裁判和监督人员签字。密封袋在监督人员监督下由加密裁判放置于保密室的保险柜中保存。  </w:t>
      </w:r>
    </w:p>
    <w:p>
      <w:pPr>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（二）裁判评分方法</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裁判组负责竞赛机考评分和结果性评分，由裁判长负责竞赛全过程；裁判员提前报到，报到后所有裁判的手机全部上缴裁判长统一保管，评分结束返回，保证竞赛的公正与公平。</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竞赛现场有监督员、裁判员、监考员、技术支持队伍等组成，分工明确。根据现场环境，每位监考员负责2-3组参赛队，5-6名技术支持工程师负责所有工位设备应急。监考员负责与参赛队伍的交流沟通及试卷等材料的收发，裁判员负责设备问题确认和现场执裁，技术支持负责执行裁判确认后的设备应急处理。</w:t>
      </w:r>
    </w:p>
    <w:p>
      <w:pPr>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（三）成绩产生办法</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裁判员执裁过程中，各模块由分组裁判员进行背对背评分，由小组长负责裁定成绩一致方提交到成绩统计组，统计组再次核对每小题的得分，并汇总产生每套竞赛文档号的对应成绩。</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裁判长在竞赛结束18小时内提交竞赛文档号对应的评分结果，经复核无误，由裁判长、监督人员和仲裁人员签字确认后公布。</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裁判长正式提交竞赛文档号对应的评分结果并复核无误后，加密裁判在监督人员监督下对加密结果进行逐层解密，形成成绩一览表，成绩表由裁判长、监督员签字确认。</w:t>
      </w:r>
    </w:p>
    <w:p>
      <w:pPr>
        <w:pStyle w:val="9"/>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竞赛评分严格按照公平、公正、公开的原则，评分标准注重考查参赛选手以下各方面的能力和水平：</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16"/>
        <w:gridCol w:w="3117"/>
        <w:gridCol w:w="85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245" w:type="dxa"/>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序号</w:t>
            </w:r>
          </w:p>
        </w:tc>
        <w:tc>
          <w:tcPr>
            <w:tcW w:w="1416" w:type="dxa"/>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内容模块</w:t>
            </w:r>
          </w:p>
        </w:tc>
        <w:tc>
          <w:tcPr>
            <w:tcW w:w="3117" w:type="dxa"/>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评分载体</w:t>
            </w:r>
          </w:p>
        </w:tc>
        <w:tc>
          <w:tcPr>
            <w:tcW w:w="850" w:type="dxa"/>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分值</w:t>
            </w:r>
          </w:p>
        </w:tc>
        <w:tc>
          <w:tcPr>
            <w:tcW w:w="1894" w:type="dxa"/>
            <w:vAlign w:val="center"/>
          </w:tcPr>
          <w:p>
            <w:pPr>
              <w:widowControl/>
              <w:adjustRightInd w:val="0"/>
              <w:snapToGrid w:val="0"/>
              <w:jc w:val="center"/>
              <w:rPr>
                <w:rFonts w:ascii="仿宋" w:hAnsi="仿宋" w:eastAsia="仿宋" w:cs="宋体"/>
                <w:b/>
                <w:bCs/>
                <w:color w:val="000000" w:themeColor="text1"/>
                <w:kern w:val="0"/>
                <w:sz w:val="24"/>
                <w:szCs w:val="24"/>
                <w14:textFill>
                  <w14:solidFill>
                    <w14:schemeClr w14:val="tx1"/>
                  </w14:solidFill>
                </w14:textFill>
              </w:rPr>
            </w:pPr>
            <w:r>
              <w:rPr>
                <w:rFonts w:hint="eastAsia" w:ascii="仿宋" w:hAnsi="仿宋" w:eastAsia="仿宋" w:cs="宋体"/>
                <w:b/>
                <w:bCs/>
                <w:color w:val="000000" w:themeColor="text1"/>
                <w:kern w:val="0"/>
                <w:sz w:val="24"/>
                <w:szCs w:val="24"/>
                <w14:textFill>
                  <w14:solidFill>
                    <w14:schemeClr w14:val="tx1"/>
                  </w14:solidFill>
                </w14:textFill>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5" w:type="dxa"/>
            <w:vMerge w:val="restart"/>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第一阶段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1416" w:type="dxa"/>
            <w:vMerge w:val="restart"/>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网络平台搭建</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权重9%</w:t>
            </w: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网络规划文档</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245" w:type="dxa"/>
            <w:vMerge w:val="continue"/>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三层交换机配置文件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245"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416" w:type="dxa"/>
            <w:vMerge w:val="restart"/>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网络安全设备配置与防护</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权重21%</w:t>
            </w: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防火墙配置截图文件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45"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网络流控系统配置截图文件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245"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网络日志系统配置截图文件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7%</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45" w:type="dxa"/>
            <w:vMerge w:val="restart"/>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第二阶段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1416" w:type="dxa"/>
            <w:vMerge w:val="restart"/>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系统安全攻防及运维安全管控</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权重30%</w:t>
            </w:r>
          </w:p>
        </w:tc>
        <w:tc>
          <w:tcPr>
            <w:tcW w:w="3117" w:type="dxa"/>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服务器加固配置截图文件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245" w:type="dxa"/>
            <w:vMerge w:val="continue"/>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服务器渗透配置截图文件</w:t>
            </w:r>
          </w:p>
        </w:tc>
        <w:tc>
          <w:tcPr>
            <w:tcW w:w="850" w:type="dxa"/>
          </w:tcPr>
          <w:p>
            <w:pPr>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245" w:type="dxa"/>
            <w:vMerge w:val="continue"/>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web应用防火墙配置截图文件</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结果评分-客观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245" w:type="dxa"/>
            <w:vMerge w:val="restart"/>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第三阶段</w:t>
            </w:r>
          </w:p>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权重40%</w:t>
            </w:r>
          </w:p>
        </w:tc>
        <w:tc>
          <w:tcPr>
            <w:tcW w:w="1416" w:type="dxa"/>
            <w:vMerge w:val="restart"/>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分组对抗</w:t>
            </w:r>
          </w:p>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权重40%</w:t>
            </w: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防守成功，坚持到竞赛结束</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10%</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机考评分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45" w:type="dxa"/>
            <w:vMerge w:val="continue"/>
            <w:vAlign w:val="center"/>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p>
        </w:tc>
        <w:tc>
          <w:tcPr>
            <w:tcW w:w="1416" w:type="dxa"/>
            <w:vMerge w:val="continue"/>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p>
        </w:tc>
        <w:tc>
          <w:tcPr>
            <w:tcW w:w="3117" w:type="dxa"/>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渗透成功（每渗透成功1队得2分）</w:t>
            </w:r>
          </w:p>
        </w:tc>
        <w:tc>
          <w:tcPr>
            <w:tcW w:w="850" w:type="dxa"/>
          </w:tcPr>
          <w:p>
            <w:pPr>
              <w:widowControl/>
              <w:adjustRightInd w:val="0"/>
              <w:snapToGrid w:val="0"/>
              <w:jc w:val="center"/>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30%</w:t>
            </w:r>
          </w:p>
        </w:tc>
        <w:tc>
          <w:tcPr>
            <w:tcW w:w="1894" w:type="dxa"/>
            <w:vAlign w:val="center"/>
          </w:tcPr>
          <w:p>
            <w:pPr>
              <w:widowControl/>
              <w:adjustRightInd w:val="0"/>
              <w:snapToGrid w:val="0"/>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机考评分</w:t>
            </w:r>
          </w:p>
        </w:tc>
      </w:tr>
    </w:tbl>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bookmarkStart w:id="1" w:name="_GoBack"/>
      <w:r>
        <w:rPr>
          <w:rFonts w:hint="eastAsia" w:ascii="仿宋" w:hAnsi="仿宋" w:eastAsia="仿宋"/>
          <w:b w:val="0"/>
          <w:color w:val="000000" w:themeColor="text1"/>
          <w:sz w:val="28"/>
          <w:szCs w:val="28"/>
          <w14:textFill>
            <w14:solidFill>
              <w14:schemeClr w14:val="tx1"/>
            </w14:solidFill>
          </w14:textFill>
        </w:rPr>
        <w:t>参赛选手应体现团队风貌、团队协作与沟通、组织与管理能力和工作计划能力等，并注意相关文档的准确性与规范性。</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竞赛过程中，参赛选手如有不服从裁判判决、扰乱赛场秩序、舞弊等不文明行为，由裁判组按照规定扣减相应分数，情节严重的取消竞赛资格。选手有下列情形，需从比赛成绩中扣分：</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1. 违反比赛规定，提前进行操作或比赛终止后仍继续操作的，由现场裁判负责记录并酌情扣1-5分。</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2. 在竞赛过程中，违反操作规程，影响其他选手比赛的，未造成设备损坏的参赛队，扣5-10分。</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3. 在竞赛过程中，造成设备损坏或影响他人比赛、情节严重的报竞赛执委会批准，终止该参赛队的比赛，竞赛成绩以0分计算。</w:t>
      </w:r>
    </w:p>
    <w:p>
      <w:pPr>
        <w:pageBreakBefore w:val="0"/>
        <w:widowControl w:val="0"/>
        <w:kinsoku/>
        <w:wordWrap/>
        <w:overflowPunct/>
        <w:topLinePunct w:val="0"/>
        <w:autoSpaceDE/>
        <w:autoSpaceDN/>
        <w:bidi w:val="0"/>
        <w:snapToGrid w:val="0"/>
        <w:spacing w:line="560" w:lineRule="exact"/>
        <w:ind w:right="0" w:rightChars="0" w:firstLine="420"/>
        <w:jc w:val="both"/>
        <w:textAlignment w:val="auto"/>
        <w:outlineLvl w:val="0"/>
        <w:rPr>
          <w:rFonts w:ascii="仿宋" w:hAnsi="仿宋" w:eastAsia="仿宋" w:cs="Times New Roman"/>
          <w:bCs/>
          <w:color w:val="000000" w:themeColor="text1"/>
          <w:kern w:val="28"/>
          <w:sz w:val="28"/>
          <w:szCs w:val="28"/>
          <w14:textFill>
            <w14:solidFill>
              <w14:schemeClr w14:val="tx1"/>
            </w14:solidFill>
          </w14:textFill>
        </w:rPr>
      </w:pPr>
      <w:r>
        <w:rPr>
          <w:rFonts w:hint="eastAsia" w:ascii="仿宋" w:hAnsi="仿宋" w:eastAsia="仿宋" w:cs="Times New Roman"/>
          <w:bCs/>
          <w:color w:val="000000" w:themeColor="text1"/>
          <w:kern w:val="28"/>
          <w:sz w:val="28"/>
          <w:szCs w:val="28"/>
          <w14:textFill>
            <w14:solidFill>
              <w14:schemeClr w14:val="tx1"/>
            </w14:solidFill>
          </w14:textFill>
        </w:rPr>
        <w:t>（四）成绩复核与公布</w:t>
      </w:r>
    </w:p>
    <w:p>
      <w:pPr>
        <w:pageBreakBefore w:val="0"/>
        <w:widowControl w:val="0"/>
        <w:kinsoku/>
        <w:wordWrap/>
        <w:overflowPunct/>
        <w:topLinePunct w:val="0"/>
        <w:autoSpaceDE/>
        <w:autoSpaceDN/>
        <w:bidi w:val="0"/>
        <w:snapToGrid w:val="0"/>
        <w:spacing w:line="560" w:lineRule="exact"/>
        <w:ind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ascii="仿宋" w:hAnsi="仿宋" w:eastAsia="仿宋" w:cs="Times New Roman"/>
          <w:bCs/>
          <w:color w:val="000000" w:themeColor="text1"/>
          <w:kern w:val="28"/>
          <w:sz w:val="28"/>
          <w:szCs w:val="28"/>
          <w14:textFill>
            <w14:solidFill>
              <w14:schemeClr w14:val="tx1"/>
            </w14:solidFill>
          </w14:textFill>
        </w:rPr>
        <w:t xml:space="preserve">1. </w:t>
      </w:r>
      <w:r>
        <w:rPr>
          <w:rFonts w:hint="eastAsia" w:ascii="仿宋" w:hAnsi="仿宋" w:eastAsia="仿宋" w:cs="Times New Roman"/>
          <w:bCs/>
          <w:color w:val="000000" w:themeColor="text1"/>
          <w:kern w:val="28"/>
          <w:sz w:val="28"/>
          <w:szCs w:val="28"/>
          <w14:textFill>
            <w14:solidFill>
              <w14:schemeClr w14:val="tx1"/>
            </w14:solidFill>
          </w14:textFill>
        </w:rPr>
        <w:t>为保障成绩评判的准确性，监督组将对赛项总成绩排名前</w:t>
      </w:r>
      <w:r>
        <w:rPr>
          <w:rFonts w:ascii="仿宋" w:hAnsi="仿宋" w:eastAsia="仿宋" w:cs="Times New Roman"/>
          <w:bCs/>
          <w:color w:val="000000" w:themeColor="text1"/>
          <w:kern w:val="28"/>
          <w:sz w:val="28"/>
          <w:szCs w:val="28"/>
          <w14:textFill>
            <w14:solidFill>
              <w14:schemeClr w14:val="tx1"/>
            </w14:solidFill>
          </w14:textFill>
        </w:rPr>
        <w:t>30%</w:t>
      </w:r>
      <w:r>
        <w:rPr>
          <w:rFonts w:hint="eastAsia" w:ascii="仿宋" w:hAnsi="仿宋" w:eastAsia="仿宋" w:cs="Times New Roman"/>
          <w:bCs/>
          <w:color w:val="000000" w:themeColor="text1"/>
          <w:kern w:val="28"/>
          <w:sz w:val="28"/>
          <w:szCs w:val="28"/>
          <w14:textFill>
            <w14:solidFill>
              <w14:schemeClr w14:val="tx1"/>
            </w14:solidFill>
          </w14:textFill>
        </w:rPr>
        <w:t>的所有参赛队伍（选手）的成绩进行复核；对其余成绩进行抽检复核，抽检覆盖率不得低于</w:t>
      </w:r>
      <w:r>
        <w:rPr>
          <w:rFonts w:ascii="仿宋" w:hAnsi="仿宋" w:eastAsia="仿宋" w:cs="Times New Roman"/>
          <w:bCs/>
          <w:color w:val="000000" w:themeColor="text1"/>
          <w:kern w:val="28"/>
          <w:sz w:val="28"/>
          <w:szCs w:val="28"/>
          <w14:textFill>
            <w14:solidFill>
              <w14:schemeClr w14:val="tx1"/>
            </w14:solidFill>
          </w14:textFill>
        </w:rPr>
        <w:t>15%</w:t>
      </w:r>
      <w:r>
        <w:rPr>
          <w:rFonts w:hint="eastAsia" w:ascii="仿宋" w:hAnsi="仿宋" w:eastAsia="仿宋" w:cs="Times New Roman"/>
          <w:bCs/>
          <w:color w:val="000000" w:themeColor="text1"/>
          <w:kern w:val="28"/>
          <w:sz w:val="28"/>
          <w:szCs w:val="28"/>
          <w14:textFill>
            <w14:solidFill>
              <w14:schemeClr w14:val="tx1"/>
            </w14:solidFill>
          </w14:textFill>
        </w:rPr>
        <w:t>。如发现成绩错误以书面方式及时告知裁判长，由裁判长更正成绩并签字确认。复核、抽检错误率超过</w:t>
      </w:r>
      <w:r>
        <w:rPr>
          <w:rFonts w:ascii="仿宋" w:hAnsi="仿宋" w:eastAsia="仿宋" w:cs="Times New Roman"/>
          <w:bCs/>
          <w:color w:val="000000" w:themeColor="text1"/>
          <w:kern w:val="28"/>
          <w:sz w:val="28"/>
          <w:szCs w:val="28"/>
          <w14:textFill>
            <w14:solidFill>
              <w14:schemeClr w14:val="tx1"/>
            </w14:solidFill>
          </w14:textFill>
        </w:rPr>
        <w:t>5%</w:t>
      </w:r>
      <w:r>
        <w:rPr>
          <w:rFonts w:hint="eastAsia" w:ascii="仿宋" w:hAnsi="仿宋" w:eastAsia="仿宋" w:cs="Times New Roman"/>
          <w:bCs/>
          <w:color w:val="000000" w:themeColor="text1"/>
          <w:kern w:val="28"/>
          <w:sz w:val="28"/>
          <w:szCs w:val="28"/>
          <w14:textFill>
            <w14:solidFill>
              <w14:schemeClr w14:val="tx1"/>
            </w14:solidFill>
          </w14:textFill>
        </w:rPr>
        <w:t>的，裁判组将对所有成绩进行复核。</w:t>
      </w:r>
    </w:p>
    <w:p>
      <w:pPr>
        <w:pageBreakBefore w:val="0"/>
        <w:widowControl w:val="0"/>
        <w:kinsoku/>
        <w:wordWrap/>
        <w:overflowPunct/>
        <w:topLinePunct w:val="0"/>
        <w:autoSpaceDE/>
        <w:autoSpaceDN/>
        <w:bidi w:val="0"/>
        <w:snapToGrid w:val="0"/>
        <w:spacing w:line="560" w:lineRule="exact"/>
        <w:ind w:right="0" w:rightChars="0" w:firstLine="560" w:firstLineChars="200"/>
        <w:jc w:val="both"/>
        <w:textAlignment w:val="auto"/>
        <w:rPr>
          <w:rFonts w:ascii="仿宋" w:hAnsi="仿宋" w:eastAsia="仿宋" w:cs="Times New Roman"/>
          <w:bCs/>
          <w:color w:val="000000" w:themeColor="text1"/>
          <w:kern w:val="28"/>
          <w:sz w:val="28"/>
          <w:szCs w:val="28"/>
          <w14:textFill>
            <w14:solidFill>
              <w14:schemeClr w14:val="tx1"/>
            </w14:solidFill>
          </w14:textFill>
        </w:rPr>
      </w:pPr>
      <w:r>
        <w:rPr>
          <w:rFonts w:ascii="仿宋" w:hAnsi="仿宋" w:eastAsia="仿宋" w:cs="Times New Roman"/>
          <w:bCs/>
          <w:color w:val="000000" w:themeColor="text1"/>
          <w:kern w:val="28"/>
          <w:sz w:val="28"/>
          <w:szCs w:val="28"/>
          <w14:textFill>
            <w14:solidFill>
              <w14:schemeClr w14:val="tx1"/>
            </w14:solidFill>
          </w14:textFill>
        </w:rPr>
        <w:t>2</w:t>
      </w:r>
      <w:r>
        <w:rPr>
          <w:rFonts w:hint="eastAsia" w:ascii="仿宋" w:hAnsi="仿宋" w:eastAsia="仿宋" w:cs="Times New Roman"/>
          <w:bCs/>
          <w:color w:val="000000" w:themeColor="text1"/>
          <w:kern w:val="28"/>
          <w:sz w:val="28"/>
          <w:szCs w:val="28"/>
          <w14:textFill>
            <w14:solidFill>
              <w14:schemeClr w14:val="tx1"/>
            </w14:solidFill>
          </w14:textFill>
        </w:rPr>
        <w:t>．竞赛成绩以复核无误后，经项目裁判长、总裁判长、仲裁人员审核签字后确定。竞赛成绩通过赛场显示屏和网络直播等方式进行实时公布。同时，在赛场及赛场外张贴纸质成绩。若有异议，经过规定程序仲裁后，按照仲裁结果公布比赛成绩。</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十二、奖项设定</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赛项设参赛选手团体奖，</w:t>
      </w:r>
      <w:r>
        <w:rPr>
          <w:rFonts w:hint="eastAsia" w:ascii="仿宋" w:hAnsi="仿宋" w:eastAsia="仿宋"/>
          <w:b w:val="0"/>
          <w:bCs w:val="0"/>
          <w:color w:val="000000" w:themeColor="text1"/>
          <w:sz w:val="28"/>
          <w:szCs w:val="28"/>
          <w14:textFill>
            <w14:solidFill>
              <w14:schemeClr w14:val="tx1"/>
            </w14:solidFill>
          </w14:textFill>
        </w:rPr>
        <w:t>以赛项实际参赛队总数为基础，</w:t>
      </w:r>
      <w:r>
        <w:rPr>
          <w:rFonts w:hint="eastAsia" w:ascii="仿宋" w:hAnsi="仿宋" w:eastAsia="仿宋"/>
          <w:b w:val="0"/>
          <w:color w:val="000000" w:themeColor="text1"/>
          <w:sz w:val="28"/>
          <w:szCs w:val="28"/>
          <w14:textFill>
            <w14:solidFill>
              <w14:schemeClr w14:val="tx1"/>
            </w14:solidFill>
          </w14:textFill>
        </w:rPr>
        <w:t>一等奖占比10%，二等奖占比20%，三等奖占比30%，小数点后四舍五入。</w:t>
      </w:r>
    </w:p>
    <w:p>
      <w:pPr>
        <w:pStyle w:val="9"/>
        <w:pageBreakBefore w:val="0"/>
        <w:widowControl w:val="0"/>
        <w:kinsoku/>
        <w:wordWrap/>
        <w:overflowPunct/>
        <w:topLinePunct w:val="0"/>
        <w:autoSpaceDE/>
        <w:autoSpaceDN/>
        <w:bidi w:val="0"/>
        <w:adjustRightInd w:val="0"/>
        <w:snapToGrid w:val="0"/>
        <w:spacing w:before="0" w:after="0" w:line="560" w:lineRule="exact"/>
        <w:ind w:right="0" w:rightChars="0" w:firstLine="560" w:firstLineChars="200"/>
        <w:jc w:val="both"/>
        <w:textAlignment w:val="auto"/>
        <w:outlineLvl w:val="9"/>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获得一等奖参赛队的指导教师由组委会颁发优秀指导教师证书。</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十三、赛项安全</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赛事安全是全国职业院校技能大赛一切工作顺利开展的先决条件，是本赛项筹备和运行工作必须考虑的核心问题。</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组织机构</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执委会组织专门机构负责赛区内赛项的安全工作，建立公安、消防、司法行政、交通、卫生、食品、质检等相关部门协调机制保证比赛安全，制定应急预案，及时处置突发事件。制定相应安全管理的规范、流程和突发事件应急预案，全过程保证比赛筹备和实施工作安全。</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赛项设计</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比赛内容涉及的器材、设备应符合国家有关安全规定。赛项专家组应充分考虑比赛内容和所用器材、耗材可能存在的危险因素，通过完善设计规避风险，采取有效防范措施保证选手备赛和比赛安全。危险提示和防范措施应在赛项技术文件中加以明确。</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赛项技术文件应包含国家（或行业）有关职业岗位安全的规范、条例和资格证书要求等内容。</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赛项执委会须在赛前对本赛项全体裁判员进行裁判培训和安全培训，对服务人员进行安全培训。源于实际生产过程的赛项，须根据《中华人民共和国劳动法》等法律法规，建立完善的安全事故防范制度，并在赛前对选手进行培训，避免发生人身伤害事故。</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赛项执委会须制定专门方案保证比赛命题、赛题保管和评判过程的安全。</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比赛环境</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环境安全保障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场组织与管理员应制定安保须知、安全隐患规避方法及突发事件预案，设立紧急疏散路线及通道等，确保比赛期间所有进入竞赛地点的车辆、人员需凭证入内；严禁携带易燃易爆物、管制刀具等危险品及比赛严令禁止的其他物品进入场地；对于紧急发生的拥挤、踩踏、地震、火灾等进行紧急有效的处置。</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信息安全保障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安装UPS：采用UPS防止现场因突然断电导致的系统数据丢失，额定功率：3KVA，后备时间：2小时，电池类型：输出电压：230V±5%V；市电采用双路供电。</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操作安全保障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赛前要对选手进行计算机、网络设备、工具等操作的安全培训，进行安全操作的宣讲，确保每个队员能够安全操作设备后方可进行比赛。裁判员在比赛前，宣读安全注意事项，强调用火、用电安全规则。</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整个大赛过程邀请当地公安系统、卫生系统和保险系统协助支持。</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参赛队由各省市负责参赛选手旅途及竞赛过程中的安全保障。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赛项执委会要求排除安全隐患。</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赛项执委会须会同承办单位制定开放赛场和体验区的人员疏导方案。赛场环境中存在人员密集、车流人流交错的区域，除了设置齐全的指示标志外，须增加引导人员，并开辟备用通道。</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大赛期间，赛项承办单位须在赛场管理的关键岗位，增加力量，建立安全管理日志。</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 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生活条件</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比赛期间，原则上由赛事承办单位统一安排参赛选手和指导教师食宿。承办单位须尊重少数民族的信仰及文化，根据国家相关的民族政策，安排好少数民族选手和教师的饮食起居。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比赛期间安排的住宿地应具有宾馆/住宿经营许可资质。以学校宿舍作为住宿地的，大赛期间的住宿、卫生、饮食安全等由赛项执委会和提供宿舍的学校共同负责。</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大赛期间有组织的参观和观摩活动的交通安全由赛区组委会负责。赛项执委会和承办单位须保证比赛期间选手、指导教师和裁判员、工作人员的交通安全。</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各赛项的安全管理，除了可以采取必要的安全隔离措施外，应严格遵守国家相关法律法规，保护个人隐私和人身自由。</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组队责任</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各省、自治区、直辖市和计划单列市在组织参赛队时，须安排为参赛选手购买大赛期间的人身意外伤害保险。</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各省、自治区、直辖市和计划单列市参赛队组成后，须制定相关管理制度，并对所有选手、指导教师进行安全教育。</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各参赛队领队须加强参赛人员的安全管理，实现与赛场安全管理的对接。</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应急处理</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赛期间发生意外事故，发现者应第一时间报告赛项执委会，同时采取措施避免事态扩大。赛项执委会应立即启动预案予以解决并向赛区执委会报告。出现重大安全问题的赛项可以停赛，是否停赛由赛区组委会决定。事后，赛区执委会应向大赛执委会报告详细情况。</w:t>
      </w:r>
    </w:p>
    <w:p>
      <w:pPr>
        <w:pageBreakBefore w:val="0"/>
        <w:widowControl w:val="0"/>
        <w:numPr>
          <w:ilvl w:val="0"/>
          <w:numId w:val="2"/>
        </w:numPr>
        <w:tabs>
          <w:tab w:val="left" w:pos="1425"/>
        </w:tabs>
        <w:kinsoku/>
        <w:wordWrap/>
        <w:overflowPunct/>
        <w:topLinePunct w:val="0"/>
        <w:autoSpaceDE/>
        <w:autoSpaceDN/>
        <w:bidi w:val="0"/>
        <w:adjustRightInd w:val="0"/>
        <w:snapToGrid w:val="0"/>
        <w:spacing w:line="560" w:lineRule="exact"/>
        <w:ind w:right="0" w:rightChars="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处罚措施</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赛项出现重大安全事故的，停止承办单位的赛项承办资格。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因参赛队伍原因造成重大安全事故的，取消其参赛资格。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参赛队伍有发生重大安全事故隐患，经赛场工作人员提示、警告无效的，可取消其继续比赛的资格。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赛事工作人员违规的，按照相应的制度追究责任。情节恶劣并造成重大安全事故的，由司法机关追究相应法律责任。</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十四</w:t>
      </w:r>
      <w:r>
        <w:rPr>
          <w:rFonts w:ascii="仿宋" w:hAnsi="仿宋" w:eastAsia="仿宋"/>
          <w:color w:val="000000" w:themeColor="text1"/>
          <w:sz w:val="28"/>
          <w:szCs w:val="28"/>
          <w14:textFill>
            <w14:solidFill>
              <w14:schemeClr w14:val="tx1"/>
            </w14:solidFill>
          </w14:textFill>
        </w:rPr>
        <w:t>、竞赛须知</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（一）参赛队须知</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各参赛队要发扬良好道德风尚，听从指挥，服从裁判，不弄虚作假。如发现弄虚作假者，取消参赛资格，名次无效。</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各参赛队领队要坚决执行竞赛的各项规定，加强对参赛人员的管理，做好赛前准备工作，督促选手带好证件等竞赛相关材料。</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竞赛过程中，除参加当场次竞赛的选手、执行裁判员、现场工作人员和经批准的人员外，领队、指导教师及其他人员一律不得进入竞赛现 场。</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参赛队若对竞赛过程有异议，在规定的时间内由领队向赛项仲裁工作组提出书面报告。</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对申诉的仲裁结果，领队要带头服从和执行，并做好选手工作。参赛选手不得因申诉或处理意见不服而停止竞赛，否则以弃权处理。</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指导老师应及时查看大赛专用网页有关赛项的通知和内容，认真研究和掌握本赛项竞赛的规程、技术规范和赛场要求，指导选手做好赛前的一切技术准备和竞赛准备。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参赛队领队应对本队参赛队员和指导教师的参赛期间安全负责，参赛学校须为参赛选手和指导教师购买意外保险。</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领队和指导教师应在赛后做好赛事总结和工作总结。</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（二）指导</w:t>
      </w:r>
      <w:r>
        <w:rPr>
          <w:rFonts w:ascii="仿宋" w:hAnsi="仿宋" w:eastAsia="仿宋"/>
          <w:color w:val="000000" w:themeColor="text1"/>
          <w:sz w:val="28"/>
          <w:szCs w:val="28"/>
          <w14:textFill>
            <w14:solidFill>
              <w14:schemeClr w14:val="tx1"/>
            </w14:solidFill>
          </w14:textFill>
        </w:rPr>
        <w:t>教师</w:t>
      </w:r>
      <w:r>
        <w:rPr>
          <w:rFonts w:hint="eastAsia" w:ascii="仿宋" w:hAnsi="仿宋" w:eastAsia="仿宋"/>
          <w:color w:val="000000" w:themeColor="text1"/>
          <w:sz w:val="28"/>
          <w:szCs w:val="28"/>
          <w14:textFill>
            <w14:solidFill>
              <w14:schemeClr w14:val="tx1"/>
            </w14:solidFill>
          </w14:textFill>
        </w:rPr>
        <w:t>须知</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1.</w:t>
      </w:r>
      <w:r>
        <w:rPr>
          <w:rFonts w:hint="eastAsia" w:ascii="仿宋" w:hAnsi="仿宋" w:eastAsia="仿宋" w:cs="黑体"/>
          <w:color w:val="000000" w:themeColor="text1"/>
          <w:kern w:val="2"/>
          <w:szCs w:val="28"/>
          <w14:textFill>
            <w14:solidFill>
              <w14:schemeClr w14:val="tx1"/>
            </w14:solidFill>
          </w14:textFill>
        </w:rPr>
        <w:t>各参赛代表队要发扬良好道德风尚，听从指挥，服从裁判，不弄虚作假。如发现弄虚作假者，取消参赛资格，名次无效。</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2.</w:t>
      </w:r>
      <w:r>
        <w:rPr>
          <w:rFonts w:hint="eastAsia" w:ascii="仿宋" w:hAnsi="仿宋" w:eastAsia="仿宋" w:cs="黑体"/>
          <w:color w:val="000000" w:themeColor="text1"/>
          <w:kern w:val="2"/>
          <w:szCs w:val="28"/>
          <w14:textFill>
            <w14:solidFill>
              <w14:schemeClr w14:val="tx1"/>
            </w14:solidFill>
          </w14:textFill>
        </w:rPr>
        <w:t>各代表队领队要坚决执行竞赛的各项规定，加强对参赛人员的管理，做好赛前准备工作，督促选手带好证件等竞赛相关材料。</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3.</w:t>
      </w:r>
      <w:r>
        <w:rPr>
          <w:rFonts w:hint="eastAsia" w:ascii="仿宋" w:hAnsi="仿宋" w:eastAsia="仿宋" w:cs="黑体"/>
          <w:color w:val="000000" w:themeColor="text1"/>
          <w:kern w:val="2"/>
          <w:szCs w:val="28"/>
          <w14:textFill>
            <w14:solidFill>
              <w14:schemeClr w14:val="tx1"/>
            </w14:solidFill>
          </w14:textFill>
        </w:rPr>
        <w:t>竞赛过程中，除参加当场次竞赛的选手、执行裁判员、现场工作人员和经批准的人员外，领队、指导教师及其他人员一律不得进入竞赛现场。</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4.</w:t>
      </w:r>
      <w:r>
        <w:rPr>
          <w:rFonts w:hint="eastAsia" w:ascii="仿宋" w:hAnsi="仿宋" w:eastAsia="仿宋" w:cs="黑体"/>
          <w:color w:val="000000" w:themeColor="text1"/>
          <w:kern w:val="2"/>
          <w:szCs w:val="28"/>
          <w14:textFill>
            <w14:solidFill>
              <w14:schemeClr w14:val="tx1"/>
            </w14:solidFill>
          </w14:textFill>
        </w:rPr>
        <w:t>参赛代表队若对竞赛过程有异议，在规定的时间内由领队向赛项仲裁工作组提出书面报告。</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5.</w:t>
      </w:r>
      <w:r>
        <w:rPr>
          <w:rFonts w:hint="eastAsia" w:ascii="仿宋" w:hAnsi="仿宋" w:eastAsia="仿宋" w:cs="黑体"/>
          <w:color w:val="000000" w:themeColor="text1"/>
          <w:kern w:val="2"/>
          <w:szCs w:val="28"/>
          <w14:textFill>
            <w14:solidFill>
              <w14:schemeClr w14:val="tx1"/>
            </w14:solidFill>
          </w14:textFill>
        </w:rPr>
        <w:t>对申诉的仲裁结果，领队要带头服从和执行，并做好选手工作。参赛选手不得因申诉或对处理意见不服而停止竞赛，否则以弃权处理。</w:t>
      </w:r>
    </w:p>
    <w:p>
      <w:pPr>
        <w:pStyle w:val="25"/>
        <w:pageBreakBefore w:val="0"/>
        <w:widowControl w:val="0"/>
        <w:kinsoku/>
        <w:wordWrap/>
        <w:overflowPunct/>
        <w:topLinePunct w:val="0"/>
        <w:autoSpaceDE/>
        <w:autoSpaceDN/>
        <w:bidi w:val="0"/>
        <w:adjustRightInd w:val="0"/>
        <w:snapToGrid w:val="0"/>
        <w:spacing w:beforeLines="0" w:afterLines="0" w:line="560" w:lineRule="exact"/>
        <w:ind w:right="0" w:rightChars="0" w:firstLine="560"/>
        <w:jc w:val="both"/>
        <w:textAlignment w:val="auto"/>
        <w:rPr>
          <w:rFonts w:ascii="仿宋" w:hAnsi="仿宋" w:eastAsia="仿宋" w:cs="黑体"/>
          <w:color w:val="000000" w:themeColor="text1"/>
          <w:kern w:val="2"/>
          <w:szCs w:val="28"/>
          <w14:textFill>
            <w14:solidFill>
              <w14:schemeClr w14:val="tx1"/>
            </w14:solidFill>
          </w14:textFill>
        </w:rPr>
      </w:pPr>
      <w:r>
        <w:rPr>
          <w:rFonts w:ascii="仿宋" w:hAnsi="仿宋" w:eastAsia="仿宋" w:cs="黑体"/>
          <w:color w:val="000000" w:themeColor="text1"/>
          <w:kern w:val="2"/>
          <w:szCs w:val="28"/>
          <w14:textFill>
            <w14:solidFill>
              <w14:schemeClr w14:val="tx1"/>
            </w14:solidFill>
          </w14:textFill>
        </w:rPr>
        <w:t>6.</w:t>
      </w:r>
      <w:r>
        <w:rPr>
          <w:rFonts w:hint="eastAsia" w:ascii="仿宋" w:hAnsi="仿宋" w:eastAsia="仿宋" w:cs="黑体"/>
          <w:color w:val="000000" w:themeColor="text1"/>
          <w:kern w:val="2"/>
          <w:szCs w:val="28"/>
          <w14:textFill>
            <w14:solidFill>
              <w14:schemeClr w14:val="tx1"/>
            </w14:solidFill>
          </w14:textFill>
        </w:rPr>
        <w:t>指导老师应及时查看大赛专用网页有关赛项的通知和内容，认真研究和掌握本赛项竞赛的规程、技术规范和赛场要求，指导选手做好赛前的一切技术准备和竞赛准备。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（三）参赛选手须知</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参赛选手应按有关要求如实填报个人信息，否则取消竞赛资格。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参赛选手需持统一印制的参赛证和有效身份证件参加竞赛。</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参加选手应认真学习领会本次竞赛相关文件，自觉遵守大赛纪律，服从指挥，听从安排，文明参赛。</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参加选手请勿携带任何电子设备及其他资料、用品进入赛场。</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参赛选手应按照规定时间抵达赛场，凭参赛证、身份证件检录，按要求入场，不得迟到早退。</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参赛选手应增强角色意识，科学合理分工与合作。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参赛选手应按有关要求在指定位置就坐。</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参赛选手须在确认竞赛内容和现场设备等无误后开始竞赛。在竞赛过程中，确因计算机软件或硬件故障，致使操作无法继续的，经项目裁判长确认，予以启用备用计算机。</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 各参赛选手必须按规范要求操作竞赛设备。一旦出现较严重的安全事故，经总裁判长批准后将立即取消其参赛资格。</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 参赛选手需详细阅读赛题中竞赛文档命名的要求，不得在提交的竞赛文档中标识出任何关于参赛选手地名、校名、姓名、参赛编号等信息，否则取消竞赛成绩。</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 竞赛时间终了，选手应全体起立，结束操作。将资料和工具整齐摆放在操作平台上，经工作人员清点后可离开赛场，离开赛场时不得带走任何资料。</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 在竞赛期间，未经执委会批准，参赛选手不得接受其他单位和个人进行的与竞赛内容相关的采访。参赛选手不得将竞赛的相关信息私自公布。</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（四）工作人员须知</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树立服务观念，一切为选手着想，以高度负责的精神、严肃认真的态度和严谨细致的作风，在赛项执委会的领导下，按照各自职责分工和要求认真做好岗位工作。</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所有工作人员必须佩带证件，忠于职守，秉公办理，保守秘密。</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注意文明礼貌，保持良好形象，熟悉赛项指南。</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 自觉遵守赛项纪律和规则，服从调配和分工，确保竞赛工作的顺利进行。</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提前30分钟到达赛场，严守工作岗位，不迟到，不早退，不得无故离岗，特殊情况需向工作组组长请假。</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熟悉竞赛规程，严格按照工作程序和有关规定办事，遇突发事件，按照应急预案，组织指挥人员疏散，确保人员安全。</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工作人员在竞赛中若有舞弊行为，立即撤销其工作资格，并严肃处理。</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保持通讯畅通，服从统一领导，严格遵守竞赛纪律，加强协作配合，提高工作效率。</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十五、申诉与仲裁</w:t>
      </w:r>
    </w:p>
    <w:p>
      <w:pPr>
        <w:pageBreakBefore w:val="0"/>
        <w:widowControl w:val="0"/>
        <w:kinsoku/>
        <w:wordWrap/>
        <w:overflowPunct/>
        <w:topLinePunct w:val="0"/>
        <w:autoSpaceDE/>
        <w:autoSpaceDN/>
        <w:bidi w:val="0"/>
        <w:spacing w:line="560" w:lineRule="exact"/>
        <w:ind w:right="0" w:rightChars="0" w:firstLine="420" w:firstLineChars="15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本赛项在比赛过程中若出现有失公正或有关人员违规等现象，代表队领队可在比赛结束后</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小时之内向仲裁组提出申诉。大赛采取两级仲裁机制。赛项设仲裁工作组，赛区设仲裁委员会。大赛执委会办公室选派人员参加赛区仲裁委员会工作。赛项仲裁工作组在接到申诉后的</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小时内组织复议，并及时反馈复议结果。申诉方对复议结果仍有异议，可由省（市）领队向赛区仲裁委员会提出申诉。赛区仲裁委员会的仲裁结果为最终结果。</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十六、竞赛观摩</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本赛项将会设计观摩区，使用大屏幕实时显示信息安全攻防对战的进度。</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竞赛环境依据竞赛需求和职业特点设计，在竞赛不被干扰的前提下安全开放部分赛场。观摩人员需佩戴观摩证件在工作人员带领下沿指定路线、在指定区域内到现场观赛。</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十七、竞赛直播</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赛项全程录像。</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本赛项赛前对赛题保密、设备安装调试、软件安装等关键环节进行实况摄录。竞赛过程采用全程摄录的形式，对比赛的开闭幕式、比赛过程、手工评卷等过程进行全程实况转播。</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本赛况在赛后将制作大赛制作优秀选手采访、优秀指导教师采访、裁判专家点评和企业人士采访视频资料。</w:t>
      </w:r>
    </w:p>
    <w:p>
      <w:pPr>
        <w:pStyle w:val="2"/>
        <w:pageBreakBefore w:val="0"/>
        <w:widowControl w:val="0"/>
        <w:kinsoku/>
        <w:wordWrap/>
        <w:overflowPunct/>
        <w:topLinePunct w:val="0"/>
        <w:autoSpaceDE/>
        <w:autoSpaceDN/>
        <w:bidi w:val="0"/>
        <w:adjustRightInd w:val="0"/>
        <w:snapToGrid w:val="0"/>
        <w:spacing w:before="0" w:after="0" w:line="560" w:lineRule="exact"/>
        <w:ind w:right="0" w:rightChars="0" w:firstLine="562" w:firstLineChars="200"/>
        <w:jc w:val="both"/>
        <w:textAlignment w:val="auto"/>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十八、资源转化</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“以赛促教、以赛促改、以赛促学”是全国职业院校技能大赛的重要目的。将竞赛内容成功转化为教学资源无疑是实现这一目的的重要保障。201</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年拟制定如下教学资源转化方案：</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outlineLv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信息安全技术专业教学资源包</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在201</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年组织企业和专家更新高等职业信息安全技术专业教学资源包，系统的梳理信息安全技术专业的培养目标、岗位需求、课程体系、核心知识点及历年竞赛考核内容与要点，并结合技术发展趋势对未来的竞赛内容设置进行权威预测。</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outlineLv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师资培训</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结合全国骨干教师国家级培训和省市级培训需求，201</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年计划在全国举办20场信息安全技术专业师资认证培训。</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outlineLvl w:val="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信息安全技术专业系列教材</w:t>
      </w:r>
    </w:p>
    <w:p>
      <w:pPr>
        <w:pageBreakBefore w:val="0"/>
        <w:widowControl w:val="0"/>
        <w:kinsoku/>
        <w:wordWrap/>
        <w:overflowPunct/>
        <w:topLinePunct w:val="0"/>
        <w:autoSpaceDE/>
        <w:autoSpaceDN/>
        <w:bidi w:val="0"/>
        <w:adjustRightInd w:val="0"/>
        <w:snapToGrid w:val="0"/>
        <w:spacing w:line="560" w:lineRule="exact"/>
        <w:ind w:right="0" w:rightChars="0" w:firstLine="560" w:firstLineChars="200"/>
        <w:jc w:val="both"/>
        <w:textAlignment w:val="auto"/>
        <w:rPr>
          <w:rFonts w:ascii="仿宋_GB2312" w:hAnsi="仿宋"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在201</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年依托大赛，围绕高职电子信息大类专业建设协作组的工作，开发一套融入大赛思想的，体现“新设备、新技术、新标准”的实用型系列教材及教辅。</w:t>
      </w:r>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577211"/>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5946470">
    <w:nsid w:val="57F927E6"/>
    <w:multiLevelType w:val="multilevel"/>
    <w:tmpl w:val="57F927E6"/>
    <w:lvl w:ilvl="0" w:tentative="1">
      <w:start w:val="1"/>
      <w:numFmt w:val="japaneseCounting"/>
      <w:lvlText w:val="（%1）"/>
      <w:lvlJc w:val="left"/>
      <w:pPr>
        <w:tabs>
          <w:tab w:val="left" w:pos="1425"/>
        </w:tabs>
        <w:ind w:left="1425" w:hanging="855"/>
      </w:pPr>
      <w:rPr>
        <w:rFonts w:hint="default"/>
      </w:rPr>
    </w:lvl>
    <w:lvl w:ilvl="1" w:tentative="1">
      <w:start w:val="1"/>
      <w:numFmt w:val="lowerLetter"/>
      <w:lvlText w:val="%2)"/>
      <w:lvlJc w:val="left"/>
      <w:pPr>
        <w:tabs>
          <w:tab w:val="left" w:pos="1410"/>
        </w:tabs>
        <w:ind w:left="1410" w:hanging="420"/>
      </w:pPr>
    </w:lvl>
    <w:lvl w:ilvl="2" w:tentative="1">
      <w:start w:val="1"/>
      <w:numFmt w:val="lowerRoman"/>
      <w:lvlText w:val="%3."/>
      <w:lvlJc w:val="right"/>
      <w:pPr>
        <w:tabs>
          <w:tab w:val="left" w:pos="1830"/>
        </w:tabs>
        <w:ind w:left="1830" w:hanging="420"/>
      </w:pPr>
    </w:lvl>
    <w:lvl w:ilvl="3" w:tentative="1">
      <w:start w:val="1"/>
      <w:numFmt w:val="decimal"/>
      <w:lvlText w:val="%4."/>
      <w:lvlJc w:val="left"/>
      <w:pPr>
        <w:tabs>
          <w:tab w:val="left" w:pos="2250"/>
        </w:tabs>
        <w:ind w:left="2250" w:hanging="420"/>
      </w:pPr>
    </w:lvl>
    <w:lvl w:ilvl="4" w:tentative="1">
      <w:start w:val="1"/>
      <w:numFmt w:val="lowerLetter"/>
      <w:lvlText w:val="%5)"/>
      <w:lvlJc w:val="left"/>
      <w:pPr>
        <w:tabs>
          <w:tab w:val="left" w:pos="2670"/>
        </w:tabs>
        <w:ind w:left="2670" w:hanging="420"/>
      </w:pPr>
    </w:lvl>
    <w:lvl w:ilvl="5" w:tentative="1">
      <w:start w:val="1"/>
      <w:numFmt w:val="lowerRoman"/>
      <w:lvlText w:val="%6."/>
      <w:lvlJc w:val="right"/>
      <w:pPr>
        <w:tabs>
          <w:tab w:val="left" w:pos="3090"/>
        </w:tabs>
        <w:ind w:left="3090" w:hanging="420"/>
      </w:pPr>
    </w:lvl>
    <w:lvl w:ilvl="6" w:tentative="1">
      <w:start w:val="1"/>
      <w:numFmt w:val="decimal"/>
      <w:lvlText w:val="%7."/>
      <w:lvlJc w:val="left"/>
      <w:pPr>
        <w:tabs>
          <w:tab w:val="left" w:pos="3510"/>
        </w:tabs>
        <w:ind w:left="3510" w:hanging="420"/>
      </w:pPr>
    </w:lvl>
    <w:lvl w:ilvl="7" w:tentative="1">
      <w:start w:val="1"/>
      <w:numFmt w:val="lowerLetter"/>
      <w:lvlText w:val="%8)"/>
      <w:lvlJc w:val="left"/>
      <w:pPr>
        <w:tabs>
          <w:tab w:val="left" w:pos="3930"/>
        </w:tabs>
        <w:ind w:left="3930" w:hanging="420"/>
      </w:pPr>
    </w:lvl>
    <w:lvl w:ilvl="8" w:tentative="1">
      <w:start w:val="1"/>
      <w:numFmt w:val="lowerRoman"/>
      <w:lvlText w:val="%9."/>
      <w:lvlJc w:val="right"/>
      <w:pPr>
        <w:tabs>
          <w:tab w:val="left" w:pos="4350"/>
        </w:tabs>
        <w:ind w:left="4350" w:hanging="420"/>
      </w:pPr>
    </w:lvl>
  </w:abstractNum>
  <w:abstractNum w:abstractNumId="827284690">
    <w:nsid w:val="314F5CD2"/>
    <w:multiLevelType w:val="multilevel"/>
    <w:tmpl w:val="314F5CD2"/>
    <w:lvl w:ilvl="0" w:tentative="1">
      <w:start w:val="1"/>
      <w:numFmt w:val="decimal"/>
      <w:suff w:val="space"/>
      <w:lvlText w:val="%1."/>
      <w:lvlJc w:val="left"/>
      <w:pPr>
        <w:ind w:left="1555" w:hanging="420"/>
      </w:pPr>
      <w:rPr>
        <w:rFonts w:hint="eastAsia"/>
      </w:rPr>
    </w:lvl>
    <w:lvl w:ilvl="1" w:tentative="1">
      <w:start w:val="1"/>
      <w:numFmt w:val="lowerLetter"/>
      <w:lvlText w:val="%2)"/>
      <w:lvlJc w:val="left"/>
      <w:pPr>
        <w:ind w:left="1975" w:hanging="420"/>
      </w:pPr>
    </w:lvl>
    <w:lvl w:ilvl="2" w:tentative="1">
      <w:start w:val="1"/>
      <w:numFmt w:val="lowerRoman"/>
      <w:lvlText w:val="%3."/>
      <w:lvlJc w:val="right"/>
      <w:pPr>
        <w:ind w:left="2395" w:hanging="420"/>
      </w:pPr>
    </w:lvl>
    <w:lvl w:ilvl="3" w:tentative="1">
      <w:start w:val="1"/>
      <w:numFmt w:val="decimal"/>
      <w:lvlText w:val="%4."/>
      <w:lvlJc w:val="left"/>
      <w:pPr>
        <w:ind w:left="2815" w:hanging="420"/>
      </w:pPr>
    </w:lvl>
    <w:lvl w:ilvl="4" w:tentative="1">
      <w:start w:val="1"/>
      <w:numFmt w:val="lowerLetter"/>
      <w:lvlText w:val="%5)"/>
      <w:lvlJc w:val="left"/>
      <w:pPr>
        <w:ind w:left="3235" w:hanging="420"/>
      </w:pPr>
    </w:lvl>
    <w:lvl w:ilvl="5" w:tentative="1">
      <w:start w:val="1"/>
      <w:numFmt w:val="lowerRoman"/>
      <w:lvlText w:val="%6."/>
      <w:lvlJc w:val="right"/>
      <w:pPr>
        <w:ind w:left="3655" w:hanging="420"/>
      </w:pPr>
    </w:lvl>
    <w:lvl w:ilvl="6" w:tentative="1">
      <w:start w:val="1"/>
      <w:numFmt w:val="decimal"/>
      <w:lvlText w:val="%7."/>
      <w:lvlJc w:val="left"/>
      <w:pPr>
        <w:ind w:left="4075" w:hanging="420"/>
      </w:pPr>
    </w:lvl>
    <w:lvl w:ilvl="7" w:tentative="1">
      <w:start w:val="1"/>
      <w:numFmt w:val="lowerLetter"/>
      <w:lvlText w:val="%8)"/>
      <w:lvlJc w:val="left"/>
      <w:pPr>
        <w:ind w:left="4495" w:hanging="420"/>
      </w:pPr>
    </w:lvl>
    <w:lvl w:ilvl="8" w:tentative="1">
      <w:start w:val="1"/>
      <w:numFmt w:val="lowerRoman"/>
      <w:lvlText w:val="%9."/>
      <w:lvlJc w:val="right"/>
      <w:pPr>
        <w:ind w:left="4915" w:hanging="420"/>
      </w:pPr>
    </w:lvl>
  </w:abstractNum>
  <w:num w:numId="1">
    <w:abstractNumId w:val="827284690"/>
  </w:num>
  <w:num w:numId="2">
    <w:abstractNumId w:val="14759464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5A"/>
    <w:rsid w:val="00016C34"/>
    <w:rsid w:val="00036B41"/>
    <w:rsid w:val="00051C86"/>
    <w:rsid w:val="00057DBA"/>
    <w:rsid w:val="00065313"/>
    <w:rsid w:val="0007129C"/>
    <w:rsid w:val="00074603"/>
    <w:rsid w:val="00077D91"/>
    <w:rsid w:val="00083363"/>
    <w:rsid w:val="000A021C"/>
    <w:rsid w:val="000A1E5B"/>
    <w:rsid w:val="000C6F0B"/>
    <w:rsid w:val="000F1FBA"/>
    <w:rsid w:val="000F37FB"/>
    <w:rsid w:val="000F3FE3"/>
    <w:rsid w:val="0010281F"/>
    <w:rsid w:val="00113D10"/>
    <w:rsid w:val="00120F91"/>
    <w:rsid w:val="0013257A"/>
    <w:rsid w:val="001339F4"/>
    <w:rsid w:val="0014477F"/>
    <w:rsid w:val="00144D09"/>
    <w:rsid w:val="00156E05"/>
    <w:rsid w:val="00161DD6"/>
    <w:rsid w:val="00164FDF"/>
    <w:rsid w:val="00171D11"/>
    <w:rsid w:val="00175C34"/>
    <w:rsid w:val="001859ED"/>
    <w:rsid w:val="001C2E27"/>
    <w:rsid w:val="001C601F"/>
    <w:rsid w:val="001D1C07"/>
    <w:rsid w:val="001E055E"/>
    <w:rsid w:val="001F1040"/>
    <w:rsid w:val="002030CD"/>
    <w:rsid w:val="0020473E"/>
    <w:rsid w:val="002216BC"/>
    <w:rsid w:val="00224AF8"/>
    <w:rsid w:val="00244031"/>
    <w:rsid w:val="00244B65"/>
    <w:rsid w:val="00266176"/>
    <w:rsid w:val="00266881"/>
    <w:rsid w:val="00267A9E"/>
    <w:rsid w:val="002864E1"/>
    <w:rsid w:val="002A2502"/>
    <w:rsid w:val="002A7112"/>
    <w:rsid w:val="002B1257"/>
    <w:rsid w:val="002C47EA"/>
    <w:rsid w:val="002D08FB"/>
    <w:rsid w:val="002D238C"/>
    <w:rsid w:val="002D3751"/>
    <w:rsid w:val="002D60D7"/>
    <w:rsid w:val="002D7F35"/>
    <w:rsid w:val="002E48FC"/>
    <w:rsid w:val="002E708C"/>
    <w:rsid w:val="002F4AF9"/>
    <w:rsid w:val="003079D0"/>
    <w:rsid w:val="00313D72"/>
    <w:rsid w:val="003227C1"/>
    <w:rsid w:val="00325F40"/>
    <w:rsid w:val="00344387"/>
    <w:rsid w:val="0034471E"/>
    <w:rsid w:val="00360B24"/>
    <w:rsid w:val="0036392E"/>
    <w:rsid w:val="00366646"/>
    <w:rsid w:val="00370F45"/>
    <w:rsid w:val="00372652"/>
    <w:rsid w:val="00387B57"/>
    <w:rsid w:val="003913A9"/>
    <w:rsid w:val="003B2323"/>
    <w:rsid w:val="003C054C"/>
    <w:rsid w:val="003C257C"/>
    <w:rsid w:val="003D3183"/>
    <w:rsid w:val="003D6B46"/>
    <w:rsid w:val="00400362"/>
    <w:rsid w:val="00417C9D"/>
    <w:rsid w:val="00454AA7"/>
    <w:rsid w:val="00462C91"/>
    <w:rsid w:val="004653A0"/>
    <w:rsid w:val="004666A5"/>
    <w:rsid w:val="00472299"/>
    <w:rsid w:val="00473629"/>
    <w:rsid w:val="00476390"/>
    <w:rsid w:val="00487580"/>
    <w:rsid w:val="004A115A"/>
    <w:rsid w:val="004C3B37"/>
    <w:rsid w:val="004C572E"/>
    <w:rsid w:val="004C6A06"/>
    <w:rsid w:val="004D048A"/>
    <w:rsid w:val="004D1D0A"/>
    <w:rsid w:val="004E2440"/>
    <w:rsid w:val="004E685F"/>
    <w:rsid w:val="004E7844"/>
    <w:rsid w:val="004F0C19"/>
    <w:rsid w:val="004F2CAD"/>
    <w:rsid w:val="00503215"/>
    <w:rsid w:val="00504A36"/>
    <w:rsid w:val="00507806"/>
    <w:rsid w:val="00516EC0"/>
    <w:rsid w:val="005220C9"/>
    <w:rsid w:val="00522FF2"/>
    <w:rsid w:val="00530A4A"/>
    <w:rsid w:val="00545CF0"/>
    <w:rsid w:val="0055172E"/>
    <w:rsid w:val="00590241"/>
    <w:rsid w:val="005B32EA"/>
    <w:rsid w:val="005B4159"/>
    <w:rsid w:val="005C415B"/>
    <w:rsid w:val="005D52E6"/>
    <w:rsid w:val="005E0E3B"/>
    <w:rsid w:val="005F74B8"/>
    <w:rsid w:val="00600343"/>
    <w:rsid w:val="006009D8"/>
    <w:rsid w:val="006037DD"/>
    <w:rsid w:val="00606DFA"/>
    <w:rsid w:val="00607F92"/>
    <w:rsid w:val="006132D5"/>
    <w:rsid w:val="006140DC"/>
    <w:rsid w:val="0062109B"/>
    <w:rsid w:val="00621AC6"/>
    <w:rsid w:val="00622F59"/>
    <w:rsid w:val="00630C91"/>
    <w:rsid w:val="0065205F"/>
    <w:rsid w:val="00663750"/>
    <w:rsid w:val="006668BB"/>
    <w:rsid w:val="00667368"/>
    <w:rsid w:val="00683FDE"/>
    <w:rsid w:val="00685959"/>
    <w:rsid w:val="006A4330"/>
    <w:rsid w:val="006A7D45"/>
    <w:rsid w:val="006B2565"/>
    <w:rsid w:val="006D5CC3"/>
    <w:rsid w:val="006E1617"/>
    <w:rsid w:val="006E5E1C"/>
    <w:rsid w:val="006F20B5"/>
    <w:rsid w:val="00705F46"/>
    <w:rsid w:val="00710E28"/>
    <w:rsid w:val="0071593C"/>
    <w:rsid w:val="007370F6"/>
    <w:rsid w:val="00756932"/>
    <w:rsid w:val="0076697E"/>
    <w:rsid w:val="007930B9"/>
    <w:rsid w:val="00795039"/>
    <w:rsid w:val="00797A87"/>
    <w:rsid w:val="007C2392"/>
    <w:rsid w:val="007C3FE5"/>
    <w:rsid w:val="007D1AD9"/>
    <w:rsid w:val="007E1CE4"/>
    <w:rsid w:val="007E6B2B"/>
    <w:rsid w:val="008039AB"/>
    <w:rsid w:val="00824F8A"/>
    <w:rsid w:val="00864497"/>
    <w:rsid w:val="00886D64"/>
    <w:rsid w:val="008A229B"/>
    <w:rsid w:val="008A4CA5"/>
    <w:rsid w:val="008A73AE"/>
    <w:rsid w:val="008B1326"/>
    <w:rsid w:val="008B5B68"/>
    <w:rsid w:val="008C0A02"/>
    <w:rsid w:val="008C5C05"/>
    <w:rsid w:val="008C7220"/>
    <w:rsid w:val="008C75E1"/>
    <w:rsid w:val="008D0BE9"/>
    <w:rsid w:val="008D2920"/>
    <w:rsid w:val="008E13EC"/>
    <w:rsid w:val="008E416F"/>
    <w:rsid w:val="008F2082"/>
    <w:rsid w:val="00905956"/>
    <w:rsid w:val="00950823"/>
    <w:rsid w:val="009530C7"/>
    <w:rsid w:val="00957E7C"/>
    <w:rsid w:val="00963456"/>
    <w:rsid w:val="00970F20"/>
    <w:rsid w:val="00975CFC"/>
    <w:rsid w:val="00975D24"/>
    <w:rsid w:val="0097716F"/>
    <w:rsid w:val="00993418"/>
    <w:rsid w:val="009A39AB"/>
    <w:rsid w:val="009B2114"/>
    <w:rsid w:val="009C21D3"/>
    <w:rsid w:val="009D6102"/>
    <w:rsid w:val="00A11C33"/>
    <w:rsid w:val="00A17F6C"/>
    <w:rsid w:val="00A24BCE"/>
    <w:rsid w:val="00A31709"/>
    <w:rsid w:val="00A43E6F"/>
    <w:rsid w:val="00A456CE"/>
    <w:rsid w:val="00A479AF"/>
    <w:rsid w:val="00A50091"/>
    <w:rsid w:val="00A506EE"/>
    <w:rsid w:val="00A5297E"/>
    <w:rsid w:val="00A761A1"/>
    <w:rsid w:val="00A87075"/>
    <w:rsid w:val="00A87D07"/>
    <w:rsid w:val="00AB1141"/>
    <w:rsid w:val="00AB4BC0"/>
    <w:rsid w:val="00AC072B"/>
    <w:rsid w:val="00AC1196"/>
    <w:rsid w:val="00AC37DF"/>
    <w:rsid w:val="00AC5DB9"/>
    <w:rsid w:val="00AD1F45"/>
    <w:rsid w:val="00AD6362"/>
    <w:rsid w:val="00B05F05"/>
    <w:rsid w:val="00B23D4C"/>
    <w:rsid w:val="00B27392"/>
    <w:rsid w:val="00B46742"/>
    <w:rsid w:val="00B51884"/>
    <w:rsid w:val="00B6598E"/>
    <w:rsid w:val="00B65A08"/>
    <w:rsid w:val="00B75D01"/>
    <w:rsid w:val="00B87CF6"/>
    <w:rsid w:val="00BA4C08"/>
    <w:rsid w:val="00BB0C78"/>
    <w:rsid w:val="00BB15CC"/>
    <w:rsid w:val="00BB3EBC"/>
    <w:rsid w:val="00BB3FCD"/>
    <w:rsid w:val="00BC7E3F"/>
    <w:rsid w:val="00BD586F"/>
    <w:rsid w:val="00BD648E"/>
    <w:rsid w:val="00C03F00"/>
    <w:rsid w:val="00C077D6"/>
    <w:rsid w:val="00C12B6A"/>
    <w:rsid w:val="00C37B60"/>
    <w:rsid w:val="00C45FEA"/>
    <w:rsid w:val="00C4796C"/>
    <w:rsid w:val="00C62BA2"/>
    <w:rsid w:val="00C65504"/>
    <w:rsid w:val="00C74903"/>
    <w:rsid w:val="00C752F9"/>
    <w:rsid w:val="00C90483"/>
    <w:rsid w:val="00C90FC1"/>
    <w:rsid w:val="00C93C64"/>
    <w:rsid w:val="00C9737B"/>
    <w:rsid w:val="00CA77AE"/>
    <w:rsid w:val="00CC4136"/>
    <w:rsid w:val="00CD38F8"/>
    <w:rsid w:val="00CD79CD"/>
    <w:rsid w:val="00CE1292"/>
    <w:rsid w:val="00CE1932"/>
    <w:rsid w:val="00CE3BB4"/>
    <w:rsid w:val="00CE65F9"/>
    <w:rsid w:val="00CE6E69"/>
    <w:rsid w:val="00CF6B7E"/>
    <w:rsid w:val="00D0517C"/>
    <w:rsid w:val="00D15233"/>
    <w:rsid w:val="00D1771E"/>
    <w:rsid w:val="00D209B3"/>
    <w:rsid w:val="00D30E73"/>
    <w:rsid w:val="00D804B5"/>
    <w:rsid w:val="00D86E32"/>
    <w:rsid w:val="00D9224B"/>
    <w:rsid w:val="00DA1F20"/>
    <w:rsid w:val="00DA65EB"/>
    <w:rsid w:val="00DA684C"/>
    <w:rsid w:val="00DC6E95"/>
    <w:rsid w:val="00DF32F8"/>
    <w:rsid w:val="00DF76E3"/>
    <w:rsid w:val="00DF7A11"/>
    <w:rsid w:val="00E07D0B"/>
    <w:rsid w:val="00E24FC7"/>
    <w:rsid w:val="00E513D7"/>
    <w:rsid w:val="00E53B6B"/>
    <w:rsid w:val="00E5567D"/>
    <w:rsid w:val="00E660BF"/>
    <w:rsid w:val="00E739EA"/>
    <w:rsid w:val="00E92B54"/>
    <w:rsid w:val="00E940C3"/>
    <w:rsid w:val="00E95C0A"/>
    <w:rsid w:val="00E962DE"/>
    <w:rsid w:val="00EA0145"/>
    <w:rsid w:val="00EB097B"/>
    <w:rsid w:val="00EB098E"/>
    <w:rsid w:val="00ED4965"/>
    <w:rsid w:val="00EE0FD5"/>
    <w:rsid w:val="00EE18B9"/>
    <w:rsid w:val="00EE50D3"/>
    <w:rsid w:val="00EE534A"/>
    <w:rsid w:val="00EF1EC9"/>
    <w:rsid w:val="00F01041"/>
    <w:rsid w:val="00F20E29"/>
    <w:rsid w:val="00F22352"/>
    <w:rsid w:val="00F27F58"/>
    <w:rsid w:val="00F34B5B"/>
    <w:rsid w:val="00F372CC"/>
    <w:rsid w:val="00F434BC"/>
    <w:rsid w:val="00F46233"/>
    <w:rsid w:val="00F57328"/>
    <w:rsid w:val="00F57B5C"/>
    <w:rsid w:val="00F70689"/>
    <w:rsid w:val="00F76DBE"/>
    <w:rsid w:val="00F81631"/>
    <w:rsid w:val="00FB6D9A"/>
    <w:rsid w:val="00FD79E9"/>
    <w:rsid w:val="00FE3ECD"/>
    <w:rsid w:val="1079482A"/>
    <w:rsid w:val="1BC76830"/>
    <w:rsid w:val="20D506EC"/>
    <w:rsid w:val="284F3BE6"/>
    <w:rsid w:val="2CAA255D"/>
    <w:rsid w:val="2D722DE5"/>
    <w:rsid w:val="30D675AD"/>
    <w:rsid w:val="49403DC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4"/>
    <w:unhideWhenUsed/>
    <w:uiPriority w:val="0"/>
    <w:rPr>
      <w:b/>
      <w:bCs/>
    </w:rPr>
  </w:style>
  <w:style w:type="paragraph" w:styleId="4">
    <w:name w:val="annotation text"/>
    <w:basedOn w:val="1"/>
    <w:link w:val="23"/>
    <w:unhideWhenUsed/>
    <w:qFormat/>
    <w:uiPriority w:val="0"/>
    <w:pPr>
      <w:jc w:val="left"/>
    </w:pPr>
  </w:style>
  <w:style w:type="paragraph" w:styleId="5">
    <w:name w:val="Document Map"/>
    <w:basedOn w:val="1"/>
    <w:link w:val="18"/>
    <w:unhideWhenUsed/>
    <w:qFormat/>
    <w:uiPriority w:val="0"/>
    <w:rPr>
      <w:rFonts w:ascii="宋体"/>
      <w:sz w:val="18"/>
      <w:szCs w:val="18"/>
    </w:rPr>
  </w:style>
  <w:style w:type="paragraph" w:styleId="6">
    <w:name w:val="Balloon Text"/>
    <w:basedOn w:val="1"/>
    <w:link w:val="17"/>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6"/>
    <w:qFormat/>
    <w:uiPriority w:val="0"/>
    <w:pPr>
      <w:spacing w:before="240" w:after="60" w:line="312" w:lineRule="auto"/>
      <w:jc w:val="center"/>
      <w:outlineLvl w:val="1"/>
    </w:pPr>
    <w:rPr>
      <w:rFonts w:ascii="Cambria" w:hAnsi="Cambria" w:cs="Times New Roman"/>
      <w:b/>
      <w:bCs/>
      <w:kern w:val="28"/>
      <w:sz w:val="32"/>
      <w:szCs w:val="32"/>
    </w:rPr>
  </w:style>
  <w:style w:type="character" w:styleId="11">
    <w:name w:val="annotation reference"/>
    <w:basedOn w:val="10"/>
    <w:unhideWhenUsed/>
    <w:qFormat/>
    <w:uiPriority w:val="0"/>
    <w:rPr>
      <w:sz w:val="21"/>
      <w:szCs w:val="21"/>
    </w:rPr>
  </w:style>
  <w:style w:type="paragraph" w:customStyle="1" w:styleId="13">
    <w:name w:val="列出段落1"/>
    <w:basedOn w:val="1"/>
    <w:qFormat/>
    <w:uiPriority w:val="34"/>
    <w:pPr>
      <w:ind w:firstLine="420" w:firstLineChars="200"/>
    </w:p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副标题 Char"/>
    <w:basedOn w:val="10"/>
    <w:link w:val="9"/>
    <w:uiPriority w:val="0"/>
    <w:rPr>
      <w:rFonts w:ascii="Cambria" w:hAnsi="Cambria" w:eastAsia="宋体" w:cs="Times New Roman"/>
      <w:b/>
      <w:bCs/>
      <w:kern w:val="28"/>
      <w:sz w:val="32"/>
      <w:szCs w:val="32"/>
    </w:rPr>
  </w:style>
  <w:style w:type="character" w:customStyle="1" w:styleId="17">
    <w:name w:val="批注框文本 Char"/>
    <w:basedOn w:val="10"/>
    <w:link w:val="6"/>
    <w:semiHidden/>
    <w:qFormat/>
    <w:uiPriority w:val="99"/>
    <w:rPr>
      <w:sz w:val="18"/>
      <w:szCs w:val="18"/>
    </w:rPr>
  </w:style>
  <w:style w:type="character" w:customStyle="1" w:styleId="18">
    <w:name w:val="文档结构图 Char"/>
    <w:basedOn w:val="10"/>
    <w:link w:val="5"/>
    <w:semiHidden/>
    <w:uiPriority w:val="0"/>
    <w:rPr>
      <w:rFonts w:ascii="宋体" w:hAnsi="Calibri" w:cs="黑体"/>
      <w:kern w:val="2"/>
      <w:sz w:val="18"/>
      <w:szCs w:val="18"/>
    </w:rPr>
  </w:style>
  <w:style w:type="paragraph" w:customStyle="1" w:styleId="19">
    <w:name w:val="Revision"/>
    <w:hidden/>
    <w:semiHidden/>
    <w:qFormat/>
    <w:uiPriority w:val="99"/>
    <w:rPr>
      <w:rFonts w:ascii="Calibri" w:hAnsi="Calibri" w:eastAsia="宋体" w:cs="黑体"/>
      <w:kern w:val="2"/>
      <w:sz w:val="21"/>
      <w:szCs w:val="22"/>
      <w:lang w:val="en-US" w:eastAsia="zh-CN" w:bidi="ar-SA"/>
    </w:rPr>
  </w:style>
  <w:style w:type="paragraph" w:customStyle="1" w:styleId="20">
    <w:name w:val="Defaul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1">
    <w:name w:val="List Paragraph"/>
    <w:basedOn w:val="1"/>
    <w:qFormat/>
    <w:uiPriority w:val="99"/>
    <w:pPr>
      <w:ind w:firstLine="420" w:firstLineChars="200"/>
    </w:pPr>
  </w:style>
  <w:style w:type="character" w:customStyle="1" w:styleId="22">
    <w:name w:val="标题 1 Char"/>
    <w:basedOn w:val="10"/>
    <w:link w:val="2"/>
    <w:qFormat/>
    <w:uiPriority w:val="9"/>
    <w:rPr>
      <w:rFonts w:ascii="Calibri" w:hAnsi="Calibri" w:cs="黑体"/>
      <w:b/>
      <w:bCs/>
      <w:kern w:val="44"/>
      <w:sz w:val="44"/>
      <w:szCs w:val="44"/>
    </w:rPr>
  </w:style>
  <w:style w:type="character" w:customStyle="1" w:styleId="23">
    <w:name w:val="批注文字 Char"/>
    <w:basedOn w:val="10"/>
    <w:link w:val="4"/>
    <w:uiPriority w:val="0"/>
    <w:rPr>
      <w:rFonts w:ascii="Calibri" w:hAnsi="Calibri" w:cs="黑体"/>
      <w:kern w:val="2"/>
      <w:sz w:val="21"/>
      <w:szCs w:val="22"/>
    </w:rPr>
  </w:style>
  <w:style w:type="character" w:customStyle="1" w:styleId="24">
    <w:name w:val="批注主题 Char"/>
    <w:basedOn w:val="23"/>
    <w:link w:val="3"/>
    <w:semiHidden/>
    <w:uiPriority w:val="0"/>
    <w:rPr>
      <w:rFonts w:ascii="Calibri" w:hAnsi="Calibri" w:cs="黑体"/>
      <w:b/>
      <w:bCs/>
      <w:kern w:val="2"/>
      <w:sz w:val="21"/>
      <w:szCs w:val="22"/>
    </w:rPr>
  </w:style>
  <w:style w:type="paragraph" w:customStyle="1" w:styleId="25">
    <w:name w:val="5-内文"/>
    <w:basedOn w:val="1"/>
    <w:link w:val="26"/>
    <w:qFormat/>
    <w:uiPriority w:val="99"/>
    <w:pPr>
      <w:spacing w:beforeLines="25" w:afterLines="25" w:line="300" w:lineRule="auto"/>
      <w:ind w:firstLine="200" w:firstLineChars="200"/>
    </w:pPr>
    <w:rPr>
      <w:rFonts w:eastAsia="仿宋_GB2312" w:cs="Times New Roman"/>
      <w:kern w:val="0"/>
      <w:sz w:val="28"/>
      <w:szCs w:val="20"/>
    </w:rPr>
  </w:style>
  <w:style w:type="character" w:customStyle="1" w:styleId="26">
    <w:name w:val="5-内文 Char"/>
    <w:link w:val="25"/>
    <w:qFormat/>
    <w:locked/>
    <w:uiPriority w:val="99"/>
    <w:rPr>
      <w:rFonts w:ascii="Calibri" w:hAnsi="Calibri"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04EF0-CD16-4D40-AFEE-32D2929A3F11}">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20</Pages>
  <Words>1600</Words>
  <Characters>9122</Characters>
  <Lines>76</Lines>
  <Paragraphs>21</Paragraphs>
  <TotalTime>0</TotalTime>
  <ScaleCrop>false</ScaleCrop>
  <LinksUpToDate>false</LinksUpToDate>
  <CharactersWithSpaces>10701</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2016-03-05T02:29:00Z</dcterms:created>
  <dc:creator>wang</dc:creator>
  <cp:lastModifiedBy>张钱斌</cp:lastModifiedBy>
  <dcterms:modified xsi:type="dcterms:W3CDTF">2016-03-14T01:48:11Z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