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90" w:afterAutospacing="0" w:line="21" w:lineRule="atLeast"/>
        <w:ind w:left="0" w:right="0"/>
        <w:rPr>
          <w:rFonts w:ascii="Microsoft YaHei ! important" w:hAnsi="Microsoft YaHei ! important" w:eastAsia="Microsoft YaHei ! important" w:cs="Microsoft YaHei ! important"/>
          <w:color w:val="333333"/>
          <w:sz w:val="18"/>
          <w:szCs w:val="18"/>
        </w:rPr>
      </w:pPr>
      <w:r>
        <w:rPr>
          <w:rFonts w:hint="default" w:ascii="Microsoft YaHei ! important" w:hAnsi="Microsoft YaHei ! important" w:eastAsia="Microsoft YaHei ! important" w:cs="Microsoft YaHei ! important"/>
          <w:color w:val="333333"/>
          <w:sz w:val="18"/>
          <w:szCs w:val="18"/>
        </w:rPr>
        <w:t>学科专业及人数</w:t>
      </w:r>
    </w:p>
    <w:tbl>
      <w:tblPr>
        <w:tblW w:w="836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639"/>
        <w:gridCol w:w="1347"/>
        <w:gridCol w:w="38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招聘学科</w:t>
            </w:r>
          </w:p>
        </w:tc>
        <w:tc>
          <w:tcPr>
            <w:tcW w:w="163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研究方向/领域</w:t>
            </w:r>
          </w:p>
        </w:tc>
        <w:tc>
          <w:tcPr>
            <w:tcW w:w="13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招聘人数</w:t>
            </w:r>
          </w:p>
        </w:tc>
        <w:tc>
          <w:tcPr>
            <w:tcW w:w="387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专业背景等要求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教育学原理</w:t>
            </w: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教育基本理论</w:t>
            </w:r>
          </w:p>
        </w:tc>
        <w:tc>
          <w:tcPr>
            <w:tcW w:w="1347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873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教育学、哲学、社会学、或管理学相关专业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教育哲学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德育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教育社会学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课程与教学论</w:t>
            </w: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课程与教学理论</w:t>
            </w:r>
          </w:p>
        </w:tc>
        <w:tc>
          <w:tcPr>
            <w:tcW w:w="1347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课程与教学论专业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小学语文课程与教学论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具有汉语言文学专业本科学历或小学语文教学经验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教育史</w:t>
            </w: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外国教育史</w:t>
            </w:r>
          </w:p>
        </w:tc>
        <w:tc>
          <w:tcPr>
            <w:tcW w:w="1347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外国教育史专业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中国教育史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中国教育史专业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比较教育学</w:t>
            </w: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欧美教育</w:t>
            </w:r>
          </w:p>
        </w:tc>
        <w:tc>
          <w:tcPr>
            <w:tcW w:w="1347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873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教育学、社会学或历史学相关专业；外语水平较高，熟练使用两门外语者优先考虑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东亚教育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学前教育学</w:t>
            </w: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儿童哲学</w:t>
            </w:r>
          </w:p>
        </w:tc>
        <w:tc>
          <w:tcPr>
            <w:tcW w:w="1347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873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本科、硕士、博士其中一个阶段为学前教育、特殊教育或儿童心理专业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学前教育政策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学前艺术教育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学前特殊教育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农村教育</w:t>
            </w: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教育经济学</w:t>
            </w:r>
          </w:p>
        </w:tc>
        <w:tc>
          <w:tcPr>
            <w:tcW w:w="1347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873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教育学、管理学、经济学、社会学或政治学相关专业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教育社会学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教育人口学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教育经济与管理</w:t>
            </w: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学校管理与教育行政</w:t>
            </w:r>
          </w:p>
        </w:tc>
        <w:tc>
          <w:tcPr>
            <w:tcW w:w="1347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873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管理学或教育学相关专业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04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教育政策与法律</w:t>
            </w:r>
          </w:p>
        </w:tc>
        <w:tc>
          <w:tcPr>
            <w:tcW w:w="1347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73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! importa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A3D97"/>
    <w:rsid w:val="211A3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7"/>
      <w:szCs w:val="17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5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7">
    <w:name w:val="item-name"/>
    <w:basedOn w:val="3"/>
    <w:uiPriority w:val="0"/>
    <w:rPr>
      <w:bdr w:val="none" w:color="auto" w:sz="0" w:space="0"/>
    </w:rPr>
  </w:style>
  <w:style w:type="character" w:customStyle="1" w:styleId="8">
    <w:name w:val="item-name1"/>
    <w:basedOn w:val="3"/>
    <w:uiPriority w:val="0"/>
    <w:rPr>
      <w:bdr w:val="none" w:color="auto" w:sz="0" w:space="0"/>
    </w:rPr>
  </w:style>
  <w:style w:type="character" w:customStyle="1" w:styleId="9">
    <w:name w:val="bsharetext"/>
    <w:basedOn w:val="3"/>
    <w:uiPriority w:val="0"/>
  </w:style>
  <w:style w:type="character" w:customStyle="1" w:styleId="10">
    <w:name w:val="possplit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2017-12-07T09:27:00Z</dcterms:created>
  <dc:creator>ASUS</dc:creator>
  <cp:lastModifiedBy>ASUS</cp:lastModifiedBy>
  <dcterms:modified xsi:type="dcterms:W3CDTF">2017-12-07T09:27:18Z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