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5C" w:rsidRDefault="00DA055C" w:rsidP="00DA055C">
      <w:pPr>
        <w:widowControl/>
        <w:jc w:val="left"/>
        <w:rPr>
          <w:rFonts w:ascii="仿宋_GB2312" w:eastAsia="仿宋_GB2312" w:hAnsi="Cambria" w:cs="宋体"/>
          <w:kern w:val="0"/>
          <w:sz w:val="32"/>
          <w:szCs w:val="32"/>
        </w:rPr>
      </w:pPr>
      <w:r>
        <w:rPr>
          <w:rFonts w:ascii="仿宋_GB2312" w:eastAsia="仿宋_GB2312" w:hAnsi="Cambria" w:hint="eastAsia"/>
          <w:kern w:val="0"/>
          <w:sz w:val="32"/>
          <w:szCs w:val="32"/>
        </w:rPr>
        <w:t>附件4</w:t>
      </w:r>
    </w:p>
    <w:p w:rsidR="00DA055C" w:rsidRDefault="00DA055C" w:rsidP="00DA055C">
      <w:pPr>
        <w:snapToGrid w:val="0"/>
        <w:spacing w:afterLines="50" w:after="156" w:line="560" w:lineRule="exact"/>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资源表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DA055C" w:rsidRDefault="00DA055C" w:rsidP="00DA055C">
      <w:pPr>
        <w:snapToGrid w:val="0"/>
        <w:spacing w:line="560" w:lineRule="exact"/>
        <w:ind w:firstLineChars="100" w:firstLine="320"/>
        <w:rPr>
          <w:rFonts w:ascii="仿宋_GB2312" w:eastAsia="仿宋_GB2312" w:hAnsi="Cambria" w:cs="宋体"/>
          <w:kern w:val="0"/>
          <w:sz w:val="32"/>
          <w:szCs w:val="32"/>
        </w:rPr>
      </w:pPr>
      <w:r>
        <w:rPr>
          <w:rFonts w:ascii="仿宋_GB2312" w:eastAsia="仿宋_GB2312" w:hAnsi="Cambria" w:cs="宋体" w:hint="eastAsia"/>
          <w:kern w:val="0"/>
          <w:sz w:val="32"/>
          <w:szCs w:val="32"/>
        </w:rPr>
        <w:t>“</w:t>
      </w:r>
      <w:r>
        <w:rPr>
          <w:rFonts w:ascii="仿宋_GB2312" w:eastAsia="仿宋_GB2312" w:hAnsi="Cambria" w:cs="宋体" w:hint="eastAsia"/>
          <w:spacing w:val="-6"/>
          <w:kern w:val="0"/>
          <w:sz w:val="32"/>
          <w:szCs w:val="32"/>
        </w:rPr>
        <w:t>资源表”</w:t>
      </w:r>
      <w:proofErr w:type="gramStart"/>
      <w:r>
        <w:rPr>
          <w:rFonts w:ascii="仿宋_GB2312" w:eastAsia="仿宋_GB2312" w:hAnsi="Cambria" w:cs="宋体" w:hint="eastAsia"/>
          <w:spacing w:val="-6"/>
          <w:kern w:val="0"/>
          <w:sz w:val="32"/>
          <w:szCs w:val="32"/>
        </w:rPr>
        <w:t>系反映</w:t>
      </w:r>
      <w:proofErr w:type="gramEnd"/>
      <w:r>
        <w:rPr>
          <w:rFonts w:ascii="仿宋_GB2312" w:eastAsia="仿宋_GB2312" w:hAnsi="Cambria" w:cs="宋体" w:hint="eastAsia"/>
          <w:spacing w:val="-6"/>
          <w:kern w:val="0"/>
          <w:sz w:val="32"/>
          <w:szCs w:val="32"/>
        </w:rPr>
        <w:t>高职院校基本办学条件的管理评价工具。</w:t>
      </w:r>
    </w:p>
    <w:p w:rsidR="00DA055C" w:rsidRDefault="00DA055C" w:rsidP="00DA055C">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1.“生师比”=在校生数/教师总数。</w:t>
      </w:r>
    </w:p>
    <w:p w:rsidR="00DA055C" w:rsidRDefault="00DA055C" w:rsidP="00DA055C">
      <w:pPr>
        <w:snapToGrid w:val="0"/>
        <w:spacing w:line="560" w:lineRule="exact"/>
        <w:ind w:firstLineChars="200" w:firstLine="640"/>
        <w:rPr>
          <w:rFonts w:ascii="仿宋_GB2312" w:eastAsia="仿宋_GB2312" w:hAnsi="Cambria" w:cs="宋体" w:hint="eastAsia"/>
          <w:kern w:val="0"/>
          <w:sz w:val="32"/>
          <w:szCs w:val="32"/>
        </w:rPr>
      </w:pPr>
      <w:r>
        <w:rPr>
          <w:rFonts w:ascii="仿宋_GB2312" w:eastAsia="仿宋_GB2312" w:hAnsi="Cambria" w:cs="宋体" w:hint="eastAsia"/>
          <w:kern w:val="0"/>
          <w:sz w:val="32"/>
          <w:szCs w:val="32"/>
        </w:rPr>
        <w:t>2.“双师素质专任教师比例”=双</w:t>
      </w:r>
      <w:proofErr w:type="gramStart"/>
      <w:r>
        <w:rPr>
          <w:rFonts w:ascii="仿宋_GB2312" w:eastAsia="仿宋_GB2312" w:hAnsi="Cambria" w:cs="宋体" w:hint="eastAsia"/>
          <w:kern w:val="0"/>
          <w:sz w:val="32"/>
          <w:szCs w:val="32"/>
        </w:rPr>
        <w:t>师素质</w:t>
      </w:r>
      <w:proofErr w:type="gramEnd"/>
      <w:r>
        <w:rPr>
          <w:rFonts w:ascii="仿宋_GB2312" w:eastAsia="仿宋_GB2312" w:hAnsi="Cambria" w:cs="宋体" w:hint="eastAsia"/>
          <w:kern w:val="0"/>
          <w:sz w:val="32"/>
          <w:szCs w:val="32"/>
        </w:rPr>
        <w:t>专任教师人数/专任教师数。</w:t>
      </w:r>
    </w:p>
    <w:p w:rsidR="00DA055C" w:rsidRDefault="00DA055C" w:rsidP="00DA055C">
      <w:pPr>
        <w:snapToGrid w:val="0"/>
        <w:spacing w:line="560" w:lineRule="exact"/>
        <w:ind w:firstLineChars="200" w:firstLine="640"/>
        <w:rPr>
          <w:rFonts w:ascii="仿宋_GB2312" w:eastAsia="仿宋_GB2312" w:hAnsi="Cambria" w:cs="宋体" w:hint="eastAsia"/>
          <w:kern w:val="0"/>
          <w:sz w:val="32"/>
          <w:szCs w:val="32"/>
        </w:rPr>
      </w:pPr>
      <w:r>
        <w:rPr>
          <w:rFonts w:ascii="仿宋_GB2312" w:eastAsia="仿宋_GB2312" w:hAnsi="Cambria" w:cs="宋体" w:hint="eastAsia"/>
          <w:kern w:val="0"/>
          <w:sz w:val="32"/>
          <w:szCs w:val="32"/>
        </w:rPr>
        <w:t>3.“高级专业技术职务专任教师比例”=具有副高及以上专业技术职务专任教师人数/专任教师数。</w:t>
      </w:r>
    </w:p>
    <w:p w:rsidR="00DA055C" w:rsidRDefault="00DA055C" w:rsidP="00DA055C">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4.“生均教学科研仪器设备值”指学校教学仪器设备总资产值与在校生总数之比。教学仪器设备资产值是指学校固定资产中用于教学、实验、实习、科研等仪器设备的资产值。统计截止时点以财政年度为准。</w:t>
      </w:r>
    </w:p>
    <w:p w:rsidR="00DA055C" w:rsidRDefault="00DA055C" w:rsidP="00DA055C">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5.“生均教学及辅助、行政办公用房面积”指学校教学及辅助用房和行政办公用房总面积与全日制学历教育在校生总数之比。</w:t>
      </w:r>
    </w:p>
    <w:p w:rsidR="00DA055C" w:rsidRDefault="00DA055C" w:rsidP="00DA055C">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6.“生均校内实践教学工位数”=校内实践教学工位总数/在校生数。其中，工位数以“高等职业院校人才培养工作状态数据”填报数为准。</w:t>
      </w:r>
    </w:p>
    <w:p w:rsidR="00DA055C" w:rsidRDefault="00DA055C" w:rsidP="00DA055C">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7.“地市级以上科技平台数”指地市级以上（含地市级）有关部门认定的研究院所、重点实验室、企业技术中心、科研工作站、工程研究中心、协同创新中心、工程实验室或其他研发机构等的数量（不含学校自身认定的科技平台）。</w:t>
      </w:r>
    </w:p>
    <w:p w:rsidR="00DA055C" w:rsidRDefault="00DA055C" w:rsidP="00DA055C">
      <w:pPr>
        <w:ind w:firstLineChars="200" w:firstLine="640"/>
        <w:rPr>
          <w:rFonts w:ascii="仿宋_GB2312" w:eastAsia="仿宋_GB2312" w:hAnsi="Cambria" w:cs="宋体" w:hint="eastAsia"/>
          <w:kern w:val="0"/>
          <w:sz w:val="32"/>
          <w:szCs w:val="32"/>
        </w:rPr>
        <w:sectPr w:rsidR="00DA055C">
          <w:footerReference w:type="default" r:id="rId5"/>
          <w:footerReference w:type="first" r:id="rId6"/>
          <w:pgSz w:w="11906" w:h="16838"/>
          <w:pgMar w:top="1610" w:right="1814" w:bottom="1610" w:left="1814" w:header="851" w:footer="992" w:gutter="0"/>
          <w:pgNumType w:fmt="numberInDash"/>
          <w:cols w:space="720"/>
          <w:titlePg/>
          <w:docGrid w:type="lines" w:linePitch="312"/>
        </w:sectPr>
      </w:pPr>
      <w:r>
        <w:rPr>
          <w:rFonts w:ascii="仿宋_GB2312" w:eastAsia="仿宋_GB2312" w:hAnsi="Cambria" w:cs="宋体" w:hint="eastAsia"/>
          <w:kern w:val="0"/>
          <w:sz w:val="32"/>
          <w:szCs w:val="32"/>
        </w:rPr>
        <w:t>8.“教学计划内课程总数”指按照教学大纲要求开设的</w:t>
      </w:r>
      <w:r>
        <w:rPr>
          <w:rFonts w:ascii="仿宋_GB2312" w:eastAsia="仿宋_GB2312" w:hAnsi="Cambria" w:cs="宋体" w:hint="eastAsia"/>
          <w:kern w:val="0"/>
          <w:sz w:val="32"/>
          <w:szCs w:val="32"/>
        </w:rPr>
        <w:lastRenderedPageBreak/>
        <w:t>课程总量，按学年填报，须与“高等职业院校人才培养工作状态数据”一致。其中，“线上开设课程数”指按照教学大纲要求，拥有数字化教学资源，通过学校网络教学平台开展授课、答疑、讨论以及提交作业和下载课件等基本教学活动的网络课程门数，建有课程</w:t>
      </w:r>
      <w:proofErr w:type="gramStart"/>
      <w:r>
        <w:rPr>
          <w:rFonts w:ascii="仿宋_GB2312" w:eastAsia="仿宋_GB2312" w:hAnsi="Cambria" w:cs="宋体" w:hint="eastAsia"/>
          <w:kern w:val="0"/>
          <w:sz w:val="32"/>
          <w:szCs w:val="32"/>
        </w:rPr>
        <w:t>网站但</w:t>
      </w:r>
      <w:proofErr w:type="gramEnd"/>
      <w:r>
        <w:rPr>
          <w:rFonts w:ascii="仿宋_GB2312" w:eastAsia="仿宋_GB2312" w:hAnsi="Cambria" w:cs="宋体" w:hint="eastAsia"/>
          <w:kern w:val="0"/>
          <w:sz w:val="32"/>
          <w:szCs w:val="32"/>
        </w:rPr>
        <w:t>不完全符合上述条件的课程，不能计入线上开设课程；“线上课程课均学生数”=选择每门课程的学生累加数/线上开设课程数。</w:t>
      </w:r>
    </w:p>
    <w:p w:rsidR="00DA055C" w:rsidRDefault="00DA055C" w:rsidP="00DA055C">
      <w:pPr>
        <w:jc w:val="center"/>
        <w:rPr>
          <w:rFonts w:ascii="Cambria" w:eastAsia="仿宋_GB2312" w:hAnsi="Cambria" w:cs="宋体"/>
          <w:kern w:val="0"/>
          <w:sz w:val="30"/>
          <w:szCs w:val="30"/>
        </w:rPr>
      </w:pPr>
      <w:r>
        <w:rPr>
          <w:rFonts w:ascii="黑体" w:eastAsia="黑体" w:hAnsi="黑体" w:hint="eastAsia"/>
          <w:sz w:val="32"/>
          <w:szCs w:val="32"/>
        </w:rPr>
        <w:lastRenderedPageBreak/>
        <w:t>表3 资源表</w:t>
      </w:r>
    </w:p>
    <w:tbl>
      <w:tblPr>
        <w:tblW w:w="0" w:type="auto"/>
        <w:tblLayout w:type="fixed"/>
        <w:tblLook w:val="0000" w:firstRow="0" w:lastRow="0" w:firstColumn="0" w:lastColumn="0" w:noHBand="0" w:noVBand="0"/>
      </w:tblPr>
      <w:tblGrid>
        <w:gridCol w:w="794"/>
        <w:gridCol w:w="752"/>
        <w:gridCol w:w="400"/>
        <w:gridCol w:w="1018"/>
        <w:gridCol w:w="2600"/>
        <w:gridCol w:w="909"/>
        <w:gridCol w:w="1000"/>
        <w:gridCol w:w="1038"/>
      </w:tblGrid>
      <w:tr w:rsidR="00DA055C" w:rsidTr="00CC2CDD">
        <w:trPr>
          <w:trHeight w:val="288"/>
        </w:trPr>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院校代码</w:t>
            </w:r>
          </w:p>
        </w:tc>
        <w:tc>
          <w:tcPr>
            <w:tcW w:w="752"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院校名称</w:t>
            </w:r>
          </w:p>
        </w:tc>
        <w:tc>
          <w:tcPr>
            <w:tcW w:w="4018" w:type="dxa"/>
            <w:gridSpan w:val="3"/>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909"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r>
      <w:tr w:rsidR="00DA055C" w:rsidTr="00CC2CDD">
        <w:trPr>
          <w:trHeight w:val="455"/>
        </w:trPr>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DA055C" w:rsidRDefault="00DA055C" w:rsidP="00CC2CDD">
            <w:pPr>
              <w:widowControl/>
              <w:rPr>
                <w:rFonts w:ascii="仿宋_GB2312" w:eastAsia="仿宋_GB2312" w:hAnsi="Cambria" w:cs="宋体"/>
                <w:kern w:val="0"/>
                <w:sz w:val="24"/>
                <w:szCs w:val="24"/>
              </w:rPr>
            </w:pPr>
          </w:p>
        </w:tc>
        <w:tc>
          <w:tcPr>
            <w:tcW w:w="7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DA055C" w:rsidRDefault="00DA055C" w:rsidP="00CC2CDD">
            <w:pPr>
              <w:widowControl/>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生师比</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双</w:t>
            </w:r>
            <w:proofErr w:type="gramStart"/>
            <w:r>
              <w:rPr>
                <w:rFonts w:ascii="仿宋_GB2312" w:eastAsia="仿宋_GB2312" w:hAnsi="Cambria" w:cs="宋体" w:hint="eastAsia"/>
                <w:kern w:val="0"/>
                <w:sz w:val="24"/>
                <w:szCs w:val="24"/>
              </w:rPr>
              <w:t>师素质</w:t>
            </w:r>
            <w:proofErr w:type="gramEnd"/>
            <w:r>
              <w:rPr>
                <w:rFonts w:ascii="仿宋_GB2312" w:eastAsia="仿宋_GB2312" w:hAnsi="Cambria" w:cs="宋体" w:hint="eastAsia"/>
                <w:kern w:val="0"/>
                <w:sz w:val="24"/>
                <w:szCs w:val="24"/>
              </w:rPr>
              <w:t>专任教师比例</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3</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hint="eastAsia"/>
                <w:b/>
                <w:bCs/>
                <w:kern w:val="0"/>
                <w:sz w:val="24"/>
                <w:szCs w:val="24"/>
              </w:rPr>
            </w:pPr>
            <w:r>
              <w:rPr>
                <w:rFonts w:ascii="仿宋_GB2312" w:eastAsia="仿宋_GB2312" w:hAnsi="Cambria" w:cs="宋体" w:hint="eastAsia"/>
                <w:kern w:val="0"/>
                <w:sz w:val="24"/>
                <w:szCs w:val="24"/>
              </w:rPr>
              <w:t>高级专业技术职务专任教师比例</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4</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w:t>
            </w:r>
            <w:proofErr w:type="gramStart"/>
            <w:r>
              <w:rPr>
                <w:rFonts w:ascii="仿宋_GB2312" w:eastAsia="仿宋_GB2312" w:hAnsi="Cambria" w:cs="宋体" w:hint="eastAsia"/>
                <w:kern w:val="0"/>
                <w:sz w:val="24"/>
                <w:szCs w:val="24"/>
              </w:rPr>
              <w:t>均教学</w:t>
            </w:r>
            <w:proofErr w:type="gramEnd"/>
            <w:r>
              <w:rPr>
                <w:rFonts w:ascii="仿宋_GB2312" w:eastAsia="仿宋_GB2312" w:hAnsi="Cambria" w:cs="宋体" w:hint="eastAsia"/>
                <w:kern w:val="0"/>
                <w:sz w:val="24"/>
                <w:szCs w:val="24"/>
              </w:rPr>
              <w:t>科研仪器设备值</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元/生</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5</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w:t>
            </w:r>
            <w:proofErr w:type="gramStart"/>
            <w:r>
              <w:rPr>
                <w:rFonts w:ascii="仿宋_GB2312" w:eastAsia="仿宋_GB2312" w:hAnsi="Cambria" w:cs="宋体" w:hint="eastAsia"/>
                <w:kern w:val="0"/>
                <w:sz w:val="24"/>
                <w:szCs w:val="24"/>
              </w:rPr>
              <w:t>均教学</w:t>
            </w:r>
            <w:proofErr w:type="gramEnd"/>
            <w:r>
              <w:rPr>
                <w:rFonts w:ascii="仿宋_GB2312" w:eastAsia="仿宋_GB2312" w:hAnsi="Cambria" w:cs="宋体" w:hint="eastAsia"/>
                <w:kern w:val="0"/>
                <w:sz w:val="24"/>
                <w:szCs w:val="24"/>
              </w:rPr>
              <w:t>及辅助、行政办公用房面积</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vertAlign w:val="superscript"/>
              </w:rPr>
            </w:pPr>
            <w:r>
              <w:rPr>
                <w:rFonts w:ascii="仿宋_GB2312" w:eastAsia="仿宋_GB2312" w:hAnsi="Cambria" w:cs="宋体" w:hint="eastAsia"/>
                <w:kern w:val="0"/>
                <w:sz w:val="24"/>
                <w:szCs w:val="24"/>
              </w:rPr>
              <w:t>m</w:t>
            </w:r>
            <w:r>
              <w:rPr>
                <w:rFonts w:ascii="仿宋_GB2312" w:eastAsia="仿宋_GB2312" w:hAnsi="Cambria" w:cs="宋体" w:hint="eastAsia"/>
                <w:kern w:val="0"/>
                <w:sz w:val="24"/>
                <w:szCs w:val="24"/>
                <w:vertAlign w:val="superscript"/>
              </w:rPr>
              <w:t>2</w:t>
            </w:r>
            <w:r>
              <w:rPr>
                <w:rFonts w:ascii="仿宋_GB2312" w:eastAsia="仿宋_GB2312" w:hAnsi="Cambria" w:cs="宋体" w:hint="eastAsia"/>
                <w:kern w:val="0"/>
                <w:sz w:val="24"/>
                <w:szCs w:val="24"/>
              </w:rPr>
              <w:t>/生</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6</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生均校内实践教学</w:t>
            </w:r>
            <w:proofErr w:type="gramStart"/>
            <w:r>
              <w:rPr>
                <w:rFonts w:ascii="仿宋_GB2312" w:eastAsia="仿宋_GB2312" w:hAnsi="Cambria" w:cs="宋体" w:hint="eastAsia"/>
                <w:kern w:val="0"/>
                <w:sz w:val="24"/>
                <w:szCs w:val="24"/>
              </w:rPr>
              <w:t>工位数</w:t>
            </w:r>
            <w:proofErr w:type="gramEnd"/>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proofErr w:type="gramStart"/>
            <w:r>
              <w:rPr>
                <w:rFonts w:ascii="仿宋_GB2312" w:eastAsia="仿宋_GB2312" w:hAnsi="Cambria" w:cs="宋体" w:hint="eastAsia"/>
                <w:kern w:val="0"/>
                <w:sz w:val="24"/>
                <w:szCs w:val="24"/>
              </w:rPr>
              <w:t>个</w:t>
            </w:r>
            <w:proofErr w:type="gramEnd"/>
            <w:r>
              <w:rPr>
                <w:rFonts w:ascii="仿宋_GB2312" w:eastAsia="仿宋_GB2312" w:hAnsi="Cambria" w:cs="宋体" w:hint="eastAsia"/>
                <w:kern w:val="0"/>
                <w:sz w:val="24"/>
                <w:szCs w:val="24"/>
              </w:rPr>
              <w:t>/生</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7</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地市级以上科技平台数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hint="eastAsia"/>
                <w:kern w:val="0"/>
                <w:sz w:val="24"/>
                <w:szCs w:val="24"/>
              </w:rPr>
            </w:pPr>
            <w:proofErr w:type="gramStart"/>
            <w:r>
              <w:rPr>
                <w:rFonts w:ascii="仿宋_GB2312" w:eastAsia="仿宋_GB2312" w:hAnsi="Cambria" w:cs="宋体" w:hint="eastAsia"/>
                <w:kern w:val="0"/>
                <w:sz w:val="24"/>
                <w:szCs w:val="24"/>
              </w:rPr>
              <w:t>个</w:t>
            </w:r>
            <w:proofErr w:type="gramEnd"/>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p>
        </w:tc>
      </w:tr>
      <w:tr w:rsidR="00DA055C" w:rsidTr="00CC2CDD">
        <w:trPr>
          <w:trHeight w:val="499"/>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vMerge w:val="restart"/>
            <w:tcBorders>
              <w:top w:val="single" w:sz="4" w:space="0" w:color="auto"/>
              <w:left w:val="nil"/>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8</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教学计划内课程总数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门</w:t>
            </w:r>
          </w:p>
        </w:tc>
        <w:tc>
          <w:tcPr>
            <w:tcW w:w="1000" w:type="dxa"/>
            <w:tcBorders>
              <w:top w:val="single" w:sz="4" w:space="0" w:color="auto"/>
              <w:left w:val="nil"/>
              <w:bottom w:val="single" w:sz="4" w:space="0" w:color="auto"/>
              <w:right w:val="single" w:sz="4" w:space="0" w:color="auto"/>
            </w:tcBorders>
            <w:shd w:val="clear" w:color="000000" w:fill="FFFFFF"/>
            <w:noWrap/>
            <w:vAlign w:val="bottom"/>
          </w:tcPr>
          <w:p w:rsidR="00DA055C" w:rsidRDefault="00DA055C" w:rsidP="00CC2CDD">
            <w:pPr>
              <w:widowControl/>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rPr>
                <w:rFonts w:ascii="仿宋_GB2312" w:eastAsia="仿宋_GB2312" w:hAnsi="Cambria" w:cs="宋体"/>
                <w:kern w:val="0"/>
                <w:sz w:val="24"/>
                <w:szCs w:val="24"/>
              </w:rPr>
            </w:pPr>
          </w:p>
        </w:tc>
      </w:tr>
      <w:tr w:rsidR="00DA055C" w:rsidTr="00CC2CDD">
        <w:trPr>
          <w:trHeight w:val="549"/>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vMerge/>
            <w:tcBorders>
              <w:left w:val="nil"/>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kern w:val="0"/>
                <w:sz w:val="24"/>
                <w:szCs w:val="24"/>
              </w:rPr>
            </w:pPr>
          </w:p>
        </w:tc>
        <w:tc>
          <w:tcPr>
            <w:tcW w:w="1018" w:type="dxa"/>
            <w:vMerge w:val="restart"/>
            <w:tcBorders>
              <w:top w:val="single" w:sz="4" w:space="0" w:color="auto"/>
              <w:left w:val="nil"/>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w:t>
            </w:r>
          </w:p>
        </w:tc>
        <w:tc>
          <w:tcPr>
            <w:tcW w:w="2600"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线上开设课程数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门</w:t>
            </w:r>
          </w:p>
        </w:tc>
        <w:tc>
          <w:tcPr>
            <w:tcW w:w="1000" w:type="dxa"/>
            <w:tcBorders>
              <w:top w:val="single" w:sz="4" w:space="0" w:color="auto"/>
              <w:left w:val="nil"/>
              <w:bottom w:val="single" w:sz="4" w:space="0" w:color="auto"/>
              <w:right w:val="single" w:sz="4" w:space="0" w:color="auto"/>
            </w:tcBorders>
            <w:shd w:val="clear" w:color="000000" w:fill="FFFFFF"/>
            <w:noWrap/>
            <w:vAlign w:val="bottom"/>
          </w:tcPr>
          <w:p w:rsidR="00DA055C" w:rsidRDefault="00DA055C" w:rsidP="00CC2CDD">
            <w:pPr>
              <w:widowControl/>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rPr>
                <w:rFonts w:ascii="仿宋_GB2312" w:eastAsia="仿宋_GB2312" w:hAnsi="Cambria" w:cs="宋体"/>
                <w:kern w:val="0"/>
                <w:sz w:val="24"/>
                <w:szCs w:val="24"/>
              </w:rPr>
            </w:pPr>
          </w:p>
        </w:tc>
      </w:tr>
      <w:tr w:rsidR="00DA055C" w:rsidTr="00CC2CDD">
        <w:trPr>
          <w:trHeight w:val="549"/>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仿宋_GB2312" w:eastAsia="仿宋_GB2312" w:hAnsi="Cambria" w:cs="宋体"/>
                <w:kern w:val="0"/>
                <w:sz w:val="24"/>
                <w:szCs w:val="24"/>
              </w:rPr>
            </w:pPr>
          </w:p>
        </w:tc>
        <w:tc>
          <w:tcPr>
            <w:tcW w:w="400" w:type="dxa"/>
            <w:vMerge/>
            <w:tcBorders>
              <w:left w:val="nil"/>
              <w:bottom w:val="single" w:sz="4" w:space="0" w:color="auto"/>
              <w:right w:val="single" w:sz="4" w:space="0" w:color="auto"/>
            </w:tcBorders>
            <w:shd w:val="clear" w:color="000000" w:fill="FFFFFF"/>
            <w:noWrap/>
            <w:vAlign w:val="center"/>
          </w:tcPr>
          <w:p w:rsidR="00DA055C" w:rsidRDefault="00DA055C" w:rsidP="00CC2CDD">
            <w:pPr>
              <w:widowControl/>
              <w:jc w:val="center"/>
              <w:rPr>
                <w:rFonts w:ascii="仿宋_GB2312" w:eastAsia="仿宋_GB2312" w:hAnsi="Cambria" w:cs="宋体"/>
                <w:kern w:val="0"/>
                <w:sz w:val="24"/>
                <w:szCs w:val="24"/>
              </w:rPr>
            </w:pPr>
          </w:p>
        </w:tc>
        <w:tc>
          <w:tcPr>
            <w:tcW w:w="1018" w:type="dxa"/>
            <w:vMerge/>
            <w:tcBorders>
              <w:left w:val="nil"/>
              <w:bottom w:val="single" w:sz="4" w:space="0" w:color="auto"/>
              <w:right w:val="single" w:sz="4" w:space="0" w:color="auto"/>
            </w:tcBorders>
            <w:shd w:val="clear" w:color="000000" w:fill="FFFFFF"/>
            <w:vAlign w:val="center"/>
          </w:tcPr>
          <w:p w:rsidR="00DA055C" w:rsidRDefault="00DA055C" w:rsidP="00CC2CDD">
            <w:pPr>
              <w:widowControl/>
              <w:ind w:firstLineChars="100" w:firstLine="240"/>
              <w:jc w:val="left"/>
              <w:rPr>
                <w:rFonts w:ascii="仿宋_GB2312" w:eastAsia="仿宋_GB2312" w:hAnsi="Cambria" w:cs="宋体" w:hint="eastAsia"/>
                <w:kern w:val="0"/>
                <w:sz w:val="24"/>
                <w:szCs w:val="24"/>
              </w:rPr>
            </w:pPr>
          </w:p>
        </w:tc>
        <w:tc>
          <w:tcPr>
            <w:tcW w:w="2600"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线上课程</w:t>
            </w:r>
            <w:proofErr w:type="gramStart"/>
            <w:r>
              <w:rPr>
                <w:rFonts w:ascii="仿宋_GB2312" w:eastAsia="仿宋_GB2312" w:hAnsi="Cambria" w:cs="宋体" w:hint="eastAsia"/>
                <w:kern w:val="0"/>
                <w:sz w:val="24"/>
                <w:szCs w:val="24"/>
              </w:rPr>
              <w:t>课均学生</w:t>
            </w:r>
            <w:proofErr w:type="gramEnd"/>
            <w:r>
              <w:rPr>
                <w:rFonts w:ascii="仿宋_GB2312" w:eastAsia="仿宋_GB2312" w:hAnsi="Cambria" w:cs="宋体" w:hint="eastAsia"/>
                <w:kern w:val="0"/>
                <w:sz w:val="24"/>
                <w:szCs w:val="24"/>
              </w:rPr>
              <w:t>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DA055C" w:rsidRDefault="00DA055C" w:rsidP="00CC2CD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000" w:type="dxa"/>
            <w:tcBorders>
              <w:top w:val="single" w:sz="4" w:space="0" w:color="auto"/>
              <w:left w:val="nil"/>
              <w:bottom w:val="single" w:sz="4" w:space="0" w:color="auto"/>
              <w:right w:val="single" w:sz="4" w:space="0" w:color="auto"/>
            </w:tcBorders>
            <w:shd w:val="clear" w:color="000000" w:fill="FFFFFF"/>
            <w:noWrap/>
            <w:vAlign w:val="bottom"/>
          </w:tcPr>
          <w:p w:rsidR="00DA055C" w:rsidRDefault="00DA055C" w:rsidP="00CC2CDD">
            <w:pPr>
              <w:widowControl/>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rPr>
                <w:rFonts w:ascii="仿宋_GB2312" w:eastAsia="仿宋_GB2312" w:hAnsi="Cambria" w:cs="宋体"/>
                <w:kern w:val="0"/>
                <w:sz w:val="24"/>
                <w:szCs w:val="24"/>
              </w:rPr>
            </w:pPr>
          </w:p>
        </w:tc>
      </w:tr>
      <w:tr w:rsidR="00DA055C" w:rsidTr="00CC2CDD">
        <w:trPr>
          <w:trHeight w:val="1626"/>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Cambria" w:eastAsia="仿宋"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055C" w:rsidRDefault="00DA055C" w:rsidP="00CC2CDD">
            <w:pPr>
              <w:widowControl/>
              <w:jc w:val="left"/>
              <w:rPr>
                <w:rFonts w:ascii="Cambria" w:eastAsia="仿宋" w:hAnsi="Cambria" w:cs="宋体"/>
                <w:kern w:val="0"/>
                <w:sz w:val="24"/>
                <w:szCs w:val="24"/>
              </w:rPr>
            </w:pPr>
          </w:p>
        </w:tc>
        <w:tc>
          <w:tcPr>
            <w:tcW w:w="6965" w:type="dxa"/>
            <w:gridSpan w:val="6"/>
            <w:tcBorders>
              <w:top w:val="single" w:sz="4" w:space="0" w:color="auto"/>
              <w:left w:val="nil"/>
              <w:bottom w:val="single" w:sz="4" w:space="0" w:color="auto"/>
              <w:right w:val="single" w:sz="4" w:space="0" w:color="auto"/>
            </w:tcBorders>
            <w:shd w:val="clear" w:color="000000" w:fill="FFFFFF"/>
            <w:noWrap/>
            <w:vAlign w:val="center"/>
          </w:tcPr>
          <w:p w:rsidR="00DA055C" w:rsidRDefault="00DA055C" w:rsidP="00CC2CD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学校类别（单选）：综合、师范、民族院校（）</w:t>
            </w:r>
          </w:p>
          <w:p w:rsidR="00DA055C" w:rsidRDefault="00DA055C" w:rsidP="00CC2CD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工科、农、林院校（）</w:t>
            </w:r>
          </w:p>
          <w:p w:rsidR="00DA055C" w:rsidRDefault="00DA055C" w:rsidP="00CC2CD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医学院校（）</w:t>
            </w:r>
          </w:p>
          <w:p w:rsidR="00DA055C" w:rsidRDefault="00DA055C" w:rsidP="00CC2CD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语文、财经、政法院校（ ）</w:t>
            </w:r>
          </w:p>
          <w:p w:rsidR="00DA055C" w:rsidRDefault="00DA055C" w:rsidP="00CC2CD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体育院校（）</w:t>
            </w:r>
          </w:p>
          <w:p w:rsidR="00DA055C" w:rsidRDefault="00DA055C" w:rsidP="00CC2CDD">
            <w:pPr>
              <w:widowControl/>
              <w:ind w:firstLineChars="900" w:firstLine="2160"/>
              <w:jc w:val="left"/>
              <w:rPr>
                <w:rFonts w:ascii="Cambria" w:eastAsia="仿宋" w:hAnsi="Cambria" w:cs="宋体"/>
                <w:kern w:val="0"/>
                <w:sz w:val="24"/>
                <w:szCs w:val="24"/>
              </w:rPr>
            </w:pPr>
            <w:r>
              <w:rPr>
                <w:rFonts w:ascii="仿宋_GB2312" w:eastAsia="仿宋_GB2312" w:hAnsi="Cambria" w:cs="宋体" w:hint="eastAsia"/>
                <w:kern w:val="0"/>
                <w:sz w:val="24"/>
                <w:szCs w:val="24"/>
              </w:rPr>
              <w:t>艺术院校（）</w:t>
            </w:r>
          </w:p>
        </w:tc>
      </w:tr>
    </w:tbl>
    <w:p w:rsidR="00E76E80" w:rsidRDefault="00DA055C">
      <w:bookmarkStart w:id="0" w:name="_GoBack"/>
      <w:bookmarkEnd w:id="0"/>
    </w:p>
    <w:sectPr w:rsidR="00E76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Semilight">
    <w:charset w:val="86"/>
    <w:family w:val="swiss"/>
    <w:pitch w:val="default"/>
    <w:sig w:usb0="900002AF" w:usb1="01D77CFB" w:usb2="00000012" w:usb3="00000000" w:csb0="203E01BD" w:csb1="D7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55C">
    <w:pPr>
      <w:pStyle w:val="a3"/>
      <w:jc w:val="center"/>
    </w:pPr>
    <w:r>
      <w:fldChar w:fldCharType="begin"/>
    </w:r>
    <w:r>
      <w:instrText xml:space="preserve"> PAGE   \* MERGEFORMAT </w:instrText>
    </w:r>
    <w:r>
      <w:fldChar w:fldCharType="separate"/>
    </w:r>
    <w:r w:rsidRPr="00DA055C">
      <w:rPr>
        <w:noProof/>
        <w:lang w:val="zh-CN" w:eastAsia="zh-CN"/>
      </w:rPr>
      <w:t>-</w:t>
    </w:r>
    <w:r>
      <w:rPr>
        <w:noProof/>
      </w:rPr>
      <w:t xml:space="preserve"> 2 -</w:t>
    </w:r>
    <w:r>
      <w:fldChar w:fldCharType="end"/>
    </w:r>
  </w:p>
  <w:p w:rsidR="00000000" w:rsidRDefault="00DA055C">
    <w:pPr>
      <w:pStyle w:val="a3"/>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55C">
    <w:pPr>
      <w:pStyle w:val="a3"/>
      <w:jc w:val="center"/>
    </w:pPr>
    <w:r>
      <w:fldChar w:fldCharType="begin"/>
    </w:r>
    <w:r>
      <w:instrText>PAGE   \* MERGEFORMAT</w:instrText>
    </w:r>
    <w:r>
      <w:fldChar w:fldCharType="separate"/>
    </w:r>
    <w:r w:rsidRPr="00DA055C">
      <w:rPr>
        <w:noProof/>
        <w:lang w:val="zh-CN" w:eastAsia="zh-CN"/>
      </w:rPr>
      <w:t>-</w:t>
    </w:r>
    <w:r w:rsidRPr="00DA055C">
      <w:rPr>
        <w:noProof/>
        <w:lang w:val="en-US" w:eastAsia="zh-CN"/>
      </w:rPr>
      <w:t xml:space="preserve"> 1 -</w:t>
    </w:r>
    <w:r>
      <w:fldChar w:fldCharType="end"/>
    </w:r>
  </w:p>
  <w:p w:rsidR="00000000" w:rsidRDefault="00DA055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5C"/>
    <w:rsid w:val="0010107E"/>
    <w:rsid w:val="00494EC8"/>
    <w:rsid w:val="00DA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A055C"/>
    <w:rPr>
      <w:sz w:val="18"/>
      <w:szCs w:val="18"/>
    </w:rPr>
  </w:style>
  <w:style w:type="paragraph" w:styleId="a3">
    <w:name w:val="footer"/>
    <w:basedOn w:val="a"/>
    <w:link w:val="Char"/>
    <w:uiPriority w:val="99"/>
    <w:unhideWhenUsed/>
    <w:qFormat/>
    <w:rsid w:val="00DA05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A055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A055C"/>
    <w:rPr>
      <w:sz w:val="18"/>
      <w:szCs w:val="18"/>
    </w:rPr>
  </w:style>
  <w:style w:type="paragraph" w:styleId="a3">
    <w:name w:val="footer"/>
    <w:basedOn w:val="a"/>
    <w:link w:val="Char"/>
    <w:uiPriority w:val="99"/>
    <w:unhideWhenUsed/>
    <w:qFormat/>
    <w:rsid w:val="00DA05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A055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836</Characters>
  <Application>Microsoft Office Word</Application>
  <DocSecurity>0</DocSecurity>
  <Lines>6</Lines>
  <Paragraphs>1</Paragraphs>
  <ScaleCrop>false</ScaleCrop>
  <Company>CHINA</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2019-12-02T06:48:00Z</dcterms:created>
  <dcterms:modified xsi:type="dcterms:W3CDTF">2019-12-02T06:49:00Z</dcterms:modified>
</cp:coreProperties>
</file>