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49" w:rsidRDefault="00527549" w:rsidP="00527549">
      <w:pPr>
        <w:rPr>
          <w:rFonts w:ascii="仿宋_GB2312" w:eastAsia="仿宋_GB2312" w:hAnsi="Cambria"/>
          <w:sz w:val="32"/>
          <w:szCs w:val="32"/>
        </w:rPr>
      </w:pPr>
      <w:r>
        <w:rPr>
          <w:rFonts w:ascii="仿宋_GB2312" w:eastAsia="仿宋_GB2312" w:hAnsi="Cambria" w:hint="eastAsia"/>
          <w:sz w:val="32"/>
          <w:szCs w:val="32"/>
        </w:rPr>
        <w:t>附件6</w:t>
      </w:r>
    </w:p>
    <w:p w:rsidR="00527549" w:rsidRDefault="00527549" w:rsidP="00527549">
      <w:pPr>
        <w:snapToGrid w:val="0"/>
        <w:spacing w:afterLines="50" w:after="156"/>
        <w:jc w:val="center"/>
        <w:outlineLvl w:val="0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“</w:t>
      </w:r>
      <w:r>
        <w:rPr>
          <w:rFonts w:ascii="黑体" w:eastAsia="黑体" w:hAnsi="黑体" w:cs="微软雅黑" w:hint="eastAsia"/>
          <w:kern w:val="0"/>
          <w:sz w:val="36"/>
          <w:szCs w:val="36"/>
        </w:rPr>
        <w:t>服务贡献表</w:t>
      </w:r>
      <w:r>
        <w:rPr>
          <w:rFonts w:ascii="黑体" w:eastAsia="黑体" w:hAnsi="黑体" w:cs="Malgun Gothic Semilight" w:hint="eastAsia"/>
          <w:kern w:val="0"/>
          <w:sz w:val="36"/>
          <w:szCs w:val="36"/>
        </w:rPr>
        <w:t>”</w:t>
      </w:r>
      <w:r>
        <w:rPr>
          <w:rFonts w:ascii="黑体" w:eastAsia="黑体" w:hAnsi="黑体" w:cs="微软雅黑" w:hint="eastAsia"/>
          <w:kern w:val="0"/>
          <w:sz w:val="36"/>
          <w:szCs w:val="36"/>
        </w:rPr>
        <w:t>指标及相关内涵说明</w:t>
      </w:r>
    </w:p>
    <w:p w:rsidR="00527549" w:rsidRDefault="00527549" w:rsidP="00527549">
      <w:pPr>
        <w:spacing w:line="520" w:lineRule="exact"/>
        <w:ind w:firstLineChars="200" w:firstLine="640"/>
        <w:rPr>
          <w:rFonts w:ascii="仿宋_GB2312" w:eastAsia="仿宋_GB2312" w:hAnsi="Cambria"/>
          <w:sz w:val="32"/>
          <w:szCs w:val="32"/>
        </w:rPr>
      </w:pPr>
      <w:r>
        <w:rPr>
          <w:rFonts w:ascii="仿宋_GB2312" w:eastAsia="仿宋_GB2312" w:hAnsi="Cambria" w:hint="eastAsia"/>
          <w:sz w:val="32"/>
          <w:szCs w:val="32"/>
        </w:rPr>
        <w:t>“服务贡献表”</w:t>
      </w:r>
      <w:proofErr w:type="gramStart"/>
      <w:r>
        <w:rPr>
          <w:rFonts w:ascii="仿宋_GB2312" w:eastAsia="仿宋_GB2312" w:hAnsi="Cambria" w:hint="eastAsia"/>
          <w:sz w:val="32"/>
          <w:szCs w:val="32"/>
        </w:rPr>
        <w:t>系反映</w:t>
      </w:r>
      <w:proofErr w:type="gramEnd"/>
      <w:r>
        <w:rPr>
          <w:rFonts w:ascii="仿宋_GB2312" w:eastAsia="仿宋_GB2312" w:hAnsi="Cambria" w:hint="eastAsia"/>
          <w:sz w:val="32"/>
          <w:szCs w:val="32"/>
        </w:rPr>
        <w:t>高职院校服务地方和行业发展的管理评价工具。</w:t>
      </w:r>
    </w:p>
    <w:p w:rsidR="00527549" w:rsidRDefault="00527549" w:rsidP="00527549">
      <w:pPr>
        <w:spacing w:line="520" w:lineRule="exact"/>
        <w:ind w:firstLineChars="200" w:firstLine="640"/>
        <w:rPr>
          <w:rFonts w:ascii="仿宋_GB2312" w:eastAsia="仿宋_GB2312" w:hAnsi="Cambria"/>
          <w:sz w:val="32"/>
          <w:szCs w:val="32"/>
        </w:rPr>
      </w:pPr>
      <w:r>
        <w:rPr>
          <w:rFonts w:ascii="仿宋_GB2312" w:eastAsia="仿宋_GB2312" w:hAnsi="Cambria" w:hint="eastAsia"/>
          <w:sz w:val="32"/>
          <w:szCs w:val="32"/>
        </w:rPr>
        <w:t>1.毕业生就业去向分为四类：</w:t>
      </w:r>
    </w:p>
    <w:p w:rsidR="00527549" w:rsidRDefault="00527549" w:rsidP="00527549">
      <w:pPr>
        <w:spacing w:line="520" w:lineRule="exact"/>
        <w:ind w:firstLineChars="200" w:firstLine="640"/>
        <w:rPr>
          <w:rFonts w:ascii="仿宋_GB2312" w:eastAsia="仿宋_GB2312" w:hAnsi="Cambria"/>
          <w:sz w:val="32"/>
          <w:szCs w:val="32"/>
        </w:rPr>
      </w:pPr>
      <w:r>
        <w:rPr>
          <w:rFonts w:ascii="仿宋_GB2312" w:eastAsia="仿宋_GB2312" w:hAnsi="Cambria" w:hint="eastAsia"/>
          <w:sz w:val="32"/>
          <w:szCs w:val="32"/>
        </w:rPr>
        <w:t>A类是毕业生留在当地（公办学校：如省级财政投入经费的以省域为“当地”，地级财政投入经费的以地级市域为“当地”，以此类推；民办学校：以学校所在地为“当地”；如有异地校区则分别统计）就业人数；B类是毕业生去西部地区和东北老工业基地就业人数（西部地区包括四川、重庆、贵州、云南、西藏、陕西、甘肃、青海、宁夏、新疆、广西、内蒙古等1</w:t>
      </w:r>
      <w:r>
        <w:rPr>
          <w:rFonts w:ascii="仿宋_GB2312" w:eastAsia="仿宋_GB2312" w:hAnsi="Cambria"/>
          <w:sz w:val="32"/>
          <w:szCs w:val="32"/>
        </w:rPr>
        <w:t>2</w:t>
      </w:r>
      <w:r>
        <w:rPr>
          <w:rFonts w:ascii="仿宋_GB2312" w:eastAsia="仿宋_GB2312" w:hAnsi="Cambria" w:hint="eastAsia"/>
          <w:sz w:val="32"/>
          <w:szCs w:val="32"/>
        </w:rPr>
        <w:t>个省份；东北老工业基地包括辽宁、吉林、黑龙江等3个省份）；C类是毕业生到中小微企业（具体标准参见《关于印发中小企业划型标准规定的通知》（工信部联企业〔2011〕300号））服务人数；D类是毕业生到500强企业（指在过去5年曾经是世界500强或中国企业500强的企业）就业人数。各高职院校根据实际分别填写以上四类，各地在本省质量年报中可汇总分析以上四类情况。</w:t>
      </w:r>
    </w:p>
    <w:p w:rsidR="00527549" w:rsidRDefault="00527549" w:rsidP="00527549">
      <w:pPr>
        <w:spacing w:line="520" w:lineRule="exact"/>
        <w:ind w:firstLineChars="200" w:firstLine="640"/>
        <w:rPr>
          <w:rFonts w:ascii="仿宋_GB2312" w:eastAsia="仿宋_GB2312" w:hAnsi="Cambria"/>
          <w:sz w:val="32"/>
          <w:szCs w:val="32"/>
        </w:rPr>
      </w:pPr>
      <w:r>
        <w:rPr>
          <w:rFonts w:ascii="仿宋_GB2312" w:eastAsia="仿宋_GB2312" w:hAnsi="Cambria" w:hint="eastAsia"/>
          <w:sz w:val="32"/>
          <w:szCs w:val="32"/>
        </w:rPr>
        <w:t>2.“技术服务到款额”指以学校名义与自然人、法人、其他组织签订的技术开发、技术服务、技术咨询、技术转让等技术合同所涉及的经费；国际科技合作项目中与境外企业、个人合作经费及科技捐赠项目经费。“技术服务产生的经济效益”指学校为上述自然人、法人、其他组织提供相关服务以及国际科技合作项目中所产生的经济效益。统计截止时点以财政年度为准。</w:t>
      </w:r>
    </w:p>
    <w:p w:rsidR="00527549" w:rsidRDefault="00527549" w:rsidP="00527549">
      <w:pPr>
        <w:spacing w:line="520" w:lineRule="exact"/>
        <w:ind w:firstLineChars="200" w:firstLine="640"/>
        <w:rPr>
          <w:rFonts w:ascii="仿宋_GB2312" w:eastAsia="仿宋_GB2312" w:hAnsi="Cambria"/>
          <w:sz w:val="32"/>
          <w:szCs w:val="32"/>
        </w:rPr>
      </w:pPr>
      <w:r>
        <w:rPr>
          <w:rFonts w:ascii="仿宋_GB2312" w:eastAsia="仿宋_GB2312" w:hAnsi="Cambria" w:hint="eastAsia"/>
          <w:sz w:val="32"/>
          <w:szCs w:val="32"/>
        </w:rPr>
        <w:t>3.“纵向科研经费到款额”指通过承担</w:t>
      </w:r>
      <w:hyperlink r:id="rId5" w:tooltip="国家" w:history="1">
        <w:r>
          <w:rPr>
            <w:rFonts w:ascii="仿宋_GB2312" w:eastAsia="仿宋_GB2312" w:hAnsi="Cambria" w:hint="eastAsia"/>
            <w:sz w:val="32"/>
            <w:szCs w:val="32"/>
          </w:rPr>
          <w:t>国家</w:t>
        </w:r>
      </w:hyperlink>
      <w:r>
        <w:rPr>
          <w:rFonts w:ascii="仿宋_GB2312" w:eastAsia="仿宋_GB2312" w:hAnsi="Cambria" w:hint="eastAsia"/>
          <w:sz w:val="32"/>
          <w:szCs w:val="32"/>
        </w:rPr>
        <w:t>、地方政府</w:t>
      </w:r>
      <w:r>
        <w:rPr>
          <w:rFonts w:ascii="仿宋_GB2312" w:eastAsia="仿宋_GB2312" w:hAnsi="Cambria" w:hint="eastAsia"/>
          <w:sz w:val="32"/>
          <w:szCs w:val="32"/>
        </w:rPr>
        <w:lastRenderedPageBreak/>
        <w:t>常设的</w:t>
      </w:r>
      <w:hyperlink r:id="rId6" w:tooltip="计划" w:history="1">
        <w:r>
          <w:rPr>
            <w:rFonts w:ascii="仿宋_GB2312" w:eastAsia="仿宋_GB2312" w:hAnsi="Cambria" w:hint="eastAsia"/>
            <w:sz w:val="32"/>
            <w:szCs w:val="32"/>
          </w:rPr>
          <w:t>计划</w:t>
        </w:r>
      </w:hyperlink>
      <w:hyperlink r:id="rId7" w:tooltip="项目" w:history="1">
        <w:r>
          <w:rPr>
            <w:rFonts w:ascii="仿宋_GB2312" w:eastAsia="仿宋_GB2312" w:hAnsi="Cambria" w:hint="eastAsia"/>
            <w:sz w:val="32"/>
            <w:szCs w:val="32"/>
          </w:rPr>
          <w:t>项目</w:t>
        </w:r>
      </w:hyperlink>
      <w:r>
        <w:rPr>
          <w:rFonts w:ascii="仿宋_GB2312" w:eastAsia="仿宋_GB2312" w:hAnsi="Cambria" w:hint="eastAsia"/>
          <w:sz w:val="32"/>
          <w:szCs w:val="32"/>
        </w:rPr>
        <w:t>或专项项目取得的科研项目经费。</w:t>
      </w:r>
      <w:r>
        <w:rPr>
          <w:rFonts w:ascii="仿宋_GB2312" w:eastAsia="仿宋_GB2312" w:hAnsi="Cambria" w:cs="宋体" w:hint="eastAsia"/>
          <w:kern w:val="0"/>
          <w:sz w:val="32"/>
          <w:szCs w:val="32"/>
        </w:rPr>
        <w:t>统计截止时点以财政年度为准。</w:t>
      </w:r>
    </w:p>
    <w:p w:rsidR="00527549" w:rsidRDefault="00527549" w:rsidP="00527549">
      <w:pPr>
        <w:spacing w:line="520" w:lineRule="exact"/>
        <w:ind w:firstLineChars="200" w:firstLine="640"/>
        <w:rPr>
          <w:rFonts w:ascii="仿宋_GB2312" w:eastAsia="仿宋_GB2312" w:hAnsi="Cambria"/>
          <w:sz w:val="32"/>
          <w:szCs w:val="32"/>
        </w:rPr>
      </w:pPr>
      <w:r>
        <w:rPr>
          <w:rFonts w:ascii="仿宋_GB2312" w:eastAsia="仿宋_GB2312" w:hAnsi="Cambria" w:hint="eastAsia"/>
          <w:sz w:val="32"/>
          <w:szCs w:val="32"/>
        </w:rPr>
        <w:t>4.“技术交易到款额”指政府或企业通过技术市场购买院校的专利和技术成果、购买技术转让、委托技术研发等支付到账的费用。</w:t>
      </w:r>
      <w:r>
        <w:rPr>
          <w:rFonts w:ascii="仿宋_GB2312" w:eastAsia="仿宋_GB2312" w:hAnsi="Cambria" w:cs="宋体" w:hint="eastAsia"/>
          <w:kern w:val="0"/>
          <w:sz w:val="32"/>
          <w:szCs w:val="32"/>
        </w:rPr>
        <w:t>统计截止时点以财政年度为准。</w:t>
      </w:r>
    </w:p>
    <w:p w:rsidR="00527549" w:rsidRDefault="00527549" w:rsidP="00527549">
      <w:pPr>
        <w:spacing w:line="520" w:lineRule="exact"/>
        <w:ind w:firstLineChars="200" w:firstLine="640"/>
        <w:rPr>
          <w:rFonts w:ascii="仿宋_GB2312" w:eastAsia="仿宋_GB2312" w:hAnsi="Cambria" w:hint="eastAsia"/>
          <w:sz w:val="32"/>
          <w:szCs w:val="32"/>
        </w:rPr>
      </w:pPr>
      <w:r>
        <w:rPr>
          <w:rFonts w:ascii="仿宋_GB2312" w:eastAsia="仿宋_GB2312" w:hAnsi="Cambria" w:hint="eastAsia"/>
          <w:sz w:val="32"/>
          <w:szCs w:val="32"/>
        </w:rPr>
        <w:t>5.“非学历培训服务”是指学校为社会进行的各类非学历性培训项目的人日总量。其中，“技术技能培训服务”是指学校针对具体技术技能开展培训项目的人日总量；“新型职业农民培训服务”是指学校开展新型职业农民培训项目的人日总量；“退役军人培训服务”是指学校开展退役军人培训项目的人日总量；“基层社会服务人员培训服务”是</w:t>
      </w:r>
      <w:proofErr w:type="gramStart"/>
      <w:r>
        <w:rPr>
          <w:rFonts w:ascii="仿宋_GB2312" w:eastAsia="仿宋_GB2312" w:hAnsi="Cambria" w:hint="eastAsia"/>
          <w:sz w:val="32"/>
          <w:szCs w:val="32"/>
        </w:rPr>
        <w:t>指开展</w:t>
      </w:r>
      <w:proofErr w:type="gramEnd"/>
      <w:r>
        <w:rPr>
          <w:rFonts w:ascii="仿宋_GB2312" w:eastAsia="仿宋_GB2312" w:hAnsi="Cambria" w:hint="eastAsia"/>
          <w:sz w:val="32"/>
          <w:szCs w:val="32"/>
        </w:rPr>
        <w:t>家政服务、养老、育幼、物业、快递等基层社会服务人员培训项目的人日总量；各高职院校根据实际分别填写以上四类培训规模，总和不受“非学历培训服务”人日总量约束。</w:t>
      </w:r>
    </w:p>
    <w:p w:rsidR="00527549" w:rsidRDefault="00527549" w:rsidP="00527549">
      <w:pPr>
        <w:spacing w:line="520" w:lineRule="exact"/>
        <w:ind w:firstLineChars="200" w:firstLine="640"/>
        <w:rPr>
          <w:rFonts w:ascii="仿宋_GB2312" w:eastAsia="仿宋_GB2312" w:hAnsi="Cambria"/>
          <w:sz w:val="32"/>
          <w:szCs w:val="32"/>
        </w:rPr>
      </w:pPr>
      <w:r>
        <w:rPr>
          <w:rFonts w:ascii="仿宋_GB2312" w:eastAsia="仿宋_GB2312" w:hAnsi="Cambria" w:hint="eastAsia"/>
          <w:sz w:val="32"/>
          <w:szCs w:val="32"/>
        </w:rPr>
        <w:t>6.“非学历培训到款额”指为社会进行的非学历性培训已到账的收入。</w:t>
      </w:r>
      <w:r>
        <w:rPr>
          <w:rFonts w:ascii="仿宋_GB2312" w:eastAsia="仿宋_GB2312" w:hAnsi="Cambria" w:cs="宋体" w:hint="eastAsia"/>
          <w:kern w:val="0"/>
          <w:sz w:val="32"/>
          <w:szCs w:val="32"/>
        </w:rPr>
        <w:t>统计截止时点以财政年度为准。</w:t>
      </w:r>
    </w:p>
    <w:p w:rsidR="00527549" w:rsidRDefault="00527549" w:rsidP="00527549">
      <w:pPr>
        <w:widowControl/>
        <w:snapToGrid w:val="0"/>
        <w:spacing w:line="312" w:lineRule="auto"/>
        <w:jc w:val="center"/>
        <w:rPr>
          <w:rFonts w:ascii="黑体" w:eastAsia="黑体" w:hAnsi="黑体"/>
          <w:sz w:val="32"/>
          <w:szCs w:val="32"/>
        </w:rPr>
      </w:pPr>
    </w:p>
    <w:p w:rsidR="00527549" w:rsidRDefault="00527549" w:rsidP="00527549">
      <w:pPr>
        <w:widowControl/>
        <w:snapToGrid w:val="0"/>
        <w:spacing w:line="312" w:lineRule="auto"/>
        <w:jc w:val="center"/>
        <w:rPr>
          <w:rFonts w:ascii="黑体" w:eastAsia="黑体" w:hAnsi="黑体"/>
          <w:sz w:val="32"/>
          <w:szCs w:val="32"/>
        </w:rPr>
      </w:pPr>
    </w:p>
    <w:p w:rsidR="00527549" w:rsidRDefault="00527549" w:rsidP="00527549">
      <w:pPr>
        <w:widowControl/>
        <w:snapToGrid w:val="0"/>
        <w:spacing w:line="312" w:lineRule="auto"/>
        <w:jc w:val="center"/>
        <w:rPr>
          <w:rFonts w:ascii="黑体" w:eastAsia="黑体" w:hAnsi="黑体"/>
          <w:sz w:val="32"/>
          <w:szCs w:val="32"/>
        </w:rPr>
      </w:pPr>
    </w:p>
    <w:p w:rsidR="00527549" w:rsidRDefault="00527549" w:rsidP="00527549">
      <w:pPr>
        <w:widowControl/>
        <w:snapToGrid w:val="0"/>
        <w:spacing w:line="312" w:lineRule="auto"/>
        <w:jc w:val="center"/>
        <w:rPr>
          <w:rFonts w:ascii="黑体" w:eastAsia="黑体" w:hAnsi="黑体"/>
          <w:sz w:val="32"/>
          <w:szCs w:val="32"/>
        </w:rPr>
      </w:pPr>
    </w:p>
    <w:p w:rsidR="00527549" w:rsidRDefault="00527549" w:rsidP="00527549">
      <w:pPr>
        <w:widowControl/>
        <w:snapToGrid w:val="0"/>
        <w:spacing w:line="312" w:lineRule="auto"/>
        <w:jc w:val="center"/>
        <w:rPr>
          <w:rFonts w:ascii="黑体" w:eastAsia="黑体" w:hAnsi="黑体"/>
          <w:sz w:val="32"/>
          <w:szCs w:val="32"/>
        </w:rPr>
      </w:pPr>
    </w:p>
    <w:p w:rsidR="00527549" w:rsidRDefault="00527549" w:rsidP="00527549">
      <w:pPr>
        <w:widowControl/>
        <w:snapToGrid w:val="0"/>
        <w:spacing w:line="312" w:lineRule="auto"/>
        <w:jc w:val="center"/>
        <w:rPr>
          <w:rFonts w:ascii="黑体" w:eastAsia="黑体" w:hAnsi="黑体"/>
          <w:sz w:val="32"/>
          <w:szCs w:val="32"/>
        </w:rPr>
      </w:pPr>
    </w:p>
    <w:p w:rsidR="00527549" w:rsidRDefault="00527549" w:rsidP="00527549">
      <w:pPr>
        <w:widowControl/>
        <w:snapToGrid w:val="0"/>
        <w:spacing w:line="312" w:lineRule="auto"/>
        <w:jc w:val="center"/>
        <w:rPr>
          <w:rFonts w:ascii="黑体" w:eastAsia="黑体" w:hAnsi="黑体"/>
          <w:sz w:val="32"/>
          <w:szCs w:val="32"/>
        </w:rPr>
      </w:pPr>
    </w:p>
    <w:p w:rsidR="00527549" w:rsidRDefault="00527549" w:rsidP="00527549">
      <w:pPr>
        <w:widowControl/>
        <w:snapToGrid w:val="0"/>
        <w:spacing w:line="312" w:lineRule="auto"/>
        <w:jc w:val="center"/>
        <w:rPr>
          <w:rFonts w:ascii="黑体" w:eastAsia="黑体" w:hAnsi="黑体"/>
          <w:sz w:val="32"/>
          <w:szCs w:val="32"/>
        </w:rPr>
      </w:pPr>
    </w:p>
    <w:p w:rsidR="00527549" w:rsidRDefault="00527549" w:rsidP="00527549">
      <w:pPr>
        <w:widowControl/>
        <w:snapToGrid w:val="0"/>
        <w:spacing w:line="312" w:lineRule="auto"/>
        <w:jc w:val="center"/>
        <w:rPr>
          <w:rFonts w:ascii="黑体" w:eastAsia="黑体" w:hAnsi="黑体"/>
          <w:sz w:val="32"/>
          <w:szCs w:val="32"/>
        </w:rPr>
      </w:pPr>
    </w:p>
    <w:p w:rsidR="00527549" w:rsidRDefault="00527549" w:rsidP="00527549">
      <w:pPr>
        <w:widowControl/>
        <w:snapToGrid w:val="0"/>
        <w:spacing w:line="312" w:lineRule="auto"/>
        <w:jc w:val="center"/>
        <w:rPr>
          <w:rFonts w:ascii="黑体" w:eastAsia="黑体" w:hAnsi="黑体"/>
          <w:sz w:val="32"/>
          <w:szCs w:val="32"/>
        </w:rPr>
      </w:pPr>
    </w:p>
    <w:p w:rsidR="00527549" w:rsidRDefault="00527549" w:rsidP="00527549">
      <w:pPr>
        <w:widowControl/>
        <w:snapToGrid w:val="0"/>
        <w:spacing w:line="312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表5 服务贡献表</w:t>
      </w:r>
    </w:p>
    <w:tbl>
      <w:tblPr>
        <w:tblW w:w="5059" w:type="pct"/>
        <w:jc w:val="center"/>
        <w:tblLayout w:type="fixed"/>
        <w:tblLook w:val="0000" w:firstRow="0" w:lastRow="0" w:firstColumn="0" w:lastColumn="0" w:noHBand="0" w:noVBand="0"/>
      </w:tblPr>
      <w:tblGrid>
        <w:gridCol w:w="717"/>
        <w:gridCol w:w="723"/>
        <w:gridCol w:w="407"/>
        <w:gridCol w:w="839"/>
        <w:gridCol w:w="2192"/>
        <w:gridCol w:w="708"/>
        <w:gridCol w:w="971"/>
        <w:gridCol w:w="1157"/>
        <w:gridCol w:w="897"/>
      </w:tblGrid>
      <w:tr w:rsidR="00527549" w:rsidTr="00CC2CDD">
        <w:trPr>
          <w:trHeight w:val="420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b/>
                <w:bCs/>
                <w:kern w:val="0"/>
                <w:sz w:val="24"/>
                <w:szCs w:val="24"/>
              </w:rPr>
              <w:t>院校代码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b/>
                <w:bCs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1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center"/>
              <w:rPr>
                <w:rFonts w:ascii="仿宋_GB2312" w:eastAsia="仿宋_GB2312" w:hAnsi="Cambr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b/>
                <w:bCs/>
                <w:kern w:val="0"/>
                <w:sz w:val="24"/>
                <w:szCs w:val="24"/>
              </w:rPr>
              <w:t>指标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549" w:rsidRDefault="00527549" w:rsidP="00CC2CDD">
            <w:pPr>
              <w:widowControl/>
              <w:jc w:val="center"/>
              <w:rPr>
                <w:rFonts w:ascii="仿宋_GB2312" w:eastAsia="仿宋_GB2312" w:hAnsi="Cambr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549" w:rsidRDefault="00527549" w:rsidP="00CC2CDD">
            <w:pPr>
              <w:widowControl/>
              <w:jc w:val="center"/>
              <w:rPr>
                <w:rFonts w:ascii="仿宋_GB2312" w:eastAsia="仿宋_GB2312" w:hAnsi="Cambr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b/>
                <w:bCs/>
                <w:kern w:val="0"/>
                <w:sz w:val="24"/>
                <w:szCs w:val="24"/>
              </w:rPr>
              <w:t>2018年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549" w:rsidRDefault="00527549" w:rsidP="00CC2CDD">
            <w:pPr>
              <w:widowControl/>
              <w:jc w:val="center"/>
              <w:rPr>
                <w:rFonts w:ascii="仿宋_GB2312" w:eastAsia="仿宋_GB2312" w:hAnsi="Cambr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b/>
                <w:bCs/>
                <w:kern w:val="0"/>
                <w:sz w:val="24"/>
                <w:szCs w:val="24"/>
              </w:rPr>
              <w:t>2019年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549" w:rsidRDefault="00527549" w:rsidP="00CC2CDD">
            <w:pPr>
              <w:widowControl/>
              <w:jc w:val="center"/>
              <w:rPr>
                <w:rFonts w:ascii="仿宋_GB2312" w:eastAsia="仿宋_GB2312" w:hAnsi="Cambria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27549" w:rsidTr="00CC2CDD">
        <w:trPr>
          <w:trHeight w:val="420"/>
          <w:jc w:val="center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7549" w:rsidRDefault="00527549" w:rsidP="00CC2CDD">
            <w:pPr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7549" w:rsidRDefault="00527549" w:rsidP="00CC2CDD">
            <w:pPr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全日制在校生人数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549" w:rsidRDefault="00527549" w:rsidP="00CC2CDD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</w:tr>
      <w:tr w:rsidR="00527549" w:rsidTr="00CC2CDD">
        <w:trPr>
          <w:trHeight w:val="420"/>
          <w:jc w:val="center"/>
        </w:trPr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7549" w:rsidRDefault="00527549" w:rsidP="00CC2CDD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27549" w:rsidRDefault="00527549" w:rsidP="00CC2CDD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7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毕业生人数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7549" w:rsidRDefault="00527549" w:rsidP="00CC2CDD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</w:tr>
      <w:tr w:rsidR="00527549" w:rsidTr="00CC2CDD">
        <w:trPr>
          <w:trHeight w:val="420"/>
          <w:jc w:val="center"/>
        </w:trPr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7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ind w:firstLineChars="100" w:firstLine="240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其中：就业人数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549" w:rsidRDefault="00527549" w:rsidP="00CC2CDD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</w:tr>
      <w:tr w:rsidR="00527549" w:rsidTr="00CC2CDD">
        <w:trPr>
          <w:trHeight w:val="480"/>
          <w:jc w:val="center"/>
        </w:trPr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7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毕业生就业去向：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549" w:rsidRDefault="00527549" w:rsidP="00CC2CDD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</w:tr>
      <w:tr w:rsidR="00527549" w:rsidTr="00CC2CDD">
        <w:trPr>
          <w:trHeight w:val="420"/>
          <w:jc w:val="center"/>
        </w:trPr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7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ind w:firstLineChars="100" w:firstLine="240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A类:留在当地就业人数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</w:tr>
      <w:tr w:rsidR="00527549" w:rsidTr="00CC2CDD">
        <w:trPr>
          <w:trHeight w:val="420"/>
          <w:jc w:val="center"/>
        </w:trPr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7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ind w:firstLineChars="100" w:firstLine="240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B类:到西部地区和东北地区就业人数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</w:tr>
      <w:tr w:rsidR="00527549" w:rsidTr="00CC2CDD">
        <w:trPr>
          <w:trHeight w:val="420"/>
          <w:jc w:val="center"/>
        </w:trPr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7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ind w:firstLineChars="100" w:firstLine="240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C类:到中小</w:t>
            </w:r>
            <w:proofErr w:type="gramStart"/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微企业</w:t>
            </w:r>
            <w:proofErr w:type="gramEnd"/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等基层服务人数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</w:tr>
      <w:tr w:rsidR="00527549" w:rsidTr="00CC2CDD">
        <w:trPr>
          <w:trHeight w:val="420"/>
          <w:jc w:val="center"/>
        </w:trPr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7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ind w:firstLineChars="100" w:firstLine="240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D类:到500强企业就业人数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</w:tr>
      <w:tr w:rsidR="00527549" w:rsidTr="00CC2CDD">
        <w:trPr>
          <w:trHeight w:val="420"/>
          <w:jc w:val="center"/>
        </w:trPr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技术服务到款额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</w:tr>
      <w:tr w:rsidR="00527549" w:rsidTr="00CC2CDD">
        <w:trPr>
          <w:trHeight w:val="420"/>
          <w:jc w:val="center"/>
        </w:trPr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17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技术服务产生的经济效益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Cs w:val="21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549" w:rsidRDefault="00527549" w:rsidP="00CC2CDD">
            <w:pPr>
              <w:widowControl/>
              <w:spacing w:line="240" w:lineRule="exact"/>
              <w:rPr>
                <w:rFonts w:ascii="仿宋_GB2312" w:eastAsia="仿宋_GB2312" w:hAnsi="Cambria" w:cs="宋体"/>
                <w:kern w:val="0"/>
                <w:szCs w:val="21"/>
              </w:rPr>
            </w:pPr>
            <w:r>
              <w:rPr>
                <w:rFonts w:ascii="仿宋_GB2312" w:eastAsia="仿宋_GB2312" w:hAnsi="Cambria" w:cs="宋体" w:hint="eastAsia"/>
                <w:kern w:val="0"/>
                <w:szCs w:val="21"/>
              </w:rPr>
              <w:t>提供产生经济效益的企业出具的证明，并盖财务章。</w:t>
            </w:r>
          </w:p>
        </w:tc>
      </w:tr>
      <w:tr w:rsidR="00527549" w:rsidTr="00CC2CDD">
        <w:trPr>
          <w:trHeight w:val="420"/>
          <w:jc w:val="center"/>
        </w:trPr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纵向科研经费到款额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</w:tr>
      <w:tr w:rsidR="00527549" w:rsidTr="00CC2CDD">
        <w:trPr>
          <w:trHeight w:val="420"/>
          <w:jc w:val="center"/>
        </w:trPr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技术交易到款额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</w:tr>
      <w:tr w:rsidR="00527549" w:rsidTr="00CC2CDD">
        <w:trPr>
          <w:trHeight w:val="420"/>
          <w:jc w:val="center"/>
        </w:trPr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非学历培训服务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人日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</w:tr>
      <w:tr w:rsidR="00527549" w:rsidTr="00CC2CDD">
        <w:trPr>
          <w:trHeight w:val="420"/>
          <w:jc w:val="center"/>
        </w:trPr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48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其中：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技术技能培训服务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人日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</w:tr>
      <w:tr w:rsidR="00527549" w:rsidTr="00CC2CDD">
        <w:trPr>
          <w:trHeight w:val="420"/>
          <w:jc w:val="center"/>
        </w:trPr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ind w:firstLineChars="300" w:firstLine="720"/>
              <w:jc w:val="left"/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新型职业农民培训服务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人日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</w:tr>
      <w:tr w:rsidR="00527549" w:rsidTr="00CC2CDD">
        <w:trPr>
          <w:trHeight w:val="420"/>
          <w:jc w:val="center"/>
        </w:trPr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ind w:firstLineChars="300" w:firstLine="720"/>
              <w:jc w:val="left"/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退役军人培训服务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人日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</w:tr>
      <w:tr w:rsidR="00527549" w:rsidTr="00CC2CDD">
        <w:trPr>
          <w:trHeight w:val="420"/>
          <w:jc w:val="center"/>
        </w:trPr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ind w:firstLineChars="300" w:firstLine="720"/>
              <w:jc w:val="left"/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基层社会服务人员培训服务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人日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</w:tr>
      <w:tr w:rsidR="00527549" w:rsidTr="00CC2CDD">
        <w:trPr>
          <w:trHeight w:val="420"/>
          <w:jc w:val="center"/>
        </w:trPr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非学历培训到款额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center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</w:tr>
      <w:tr w:rsidR="00527549" w:rsidTr="00CC2CDD">
        <w:trPr>
          <w:trHeight w:val="420"/>
          <w:jc w:val="center"/>
        </w:trPr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主要办学经费来源（单选）：省级（）        地市级（）</w:t>
            </w:r>
          </w:p>
          <w:p w:rsidR="00527549" w:rsidRDefault="00527549" w:rsidP="00CC2CDD">
            <w:pPr>
              <w:widowControl/>
              <w:ind w:firstLineChars="1000" w:firstLine="2400"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行业或企业（）          其他（）</w:t>
            </w:r>
          </w:p>
        </w:tc>
        <w:tc>
          <w:tcPr>
            <w:tcW w:w="5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</w:tr>
      <w:tr w:rsidR="00527549" w:rsidTr="00CC2CDD">
        <w:trPr>
          <w:trHeight w:val="420"/>
          <w:jc w:val="center"/>
        </w:trPr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  <w:tc>
          <w:tcPr>
            <w:tcW w:w="36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院校举办方（单选）：公办院校（）</w:t>
            </w:r>
          </w:p>
          <w:p w:rsidR="00527549" w:rsidRDefault="00527549" w:rsidP="00CC2CDD">
            <w:pPr>
              <w:widowControl/>
              <w:ind w:firstLineChars="1200" w:firstLine="2880"/>
              <w:jc w:val="left"/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 xml:space="preserve">省属公办（）   地市属公办（）   </w:t>
            </w:r>
          </w:p>
          <w:p w:rsidR="00527549" w:rsidRDefault="00527549" w:rsidP="00CC2CDD">
            <w:pPr>
              <w:widowControl/>
              <w:ind w:firstLineChars="1100" w:firstLine="2640"/>
              <w:jc w:val="left"/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县区属公办（） 国有企业公办（）</w:t>
            </w:r>
          </w:p>
          <w:p w:rsidR="00527549" w:rsidRDefault="00527549" w:rsidP="00CC2CDD">
            <w:pPr>
              <w:widowControl/>
              <w:ind w:firstLineChars="1000" w:firstLine="2400"/>
              <w:jc w:val="left"/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mbria" w:cs="宋体" w:hint="eastAsia"/>
                <w:kern w:val="0"/>
                <w:sz w:val="24"/>
                <w:szCs w:val="24"/>
              </w:rPr>
              <w:t>民办院校（）</w:t>
            </w:r>
          </w:p>
        </w:tc>
        <w:tc>
          <w:tcPr>
            <w:tcW w:w="5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549" w:rsidRDefault="00527549" w:rsidP="00CC2CDD">
            <w:pPr>
              <w:widowControl/>
              <w:jc w:val="left"/>
              <w:rPr>
                <w:rFonts w:ascii="仿宋_GB2312" w:eastAsia="仿宋_GB2312" w:hAnsi="Cambria" w:cs="宋体"/>
                <w:kern w:val="0"/>
                <w:sz w:val="24"/>
                <w:szCs w:val="24"/>
              </w:rPr>
            </w:pPr>
          </w:p>
        </w:tc>
      </w:tr>
    </w:tbl>
    <w:p w:rsidR="00527549" w:rsidRDefault="00527549" w:rsidP="00527549">
      <w:bookmarkStart w:id="0" w:name="_GoBack"/>
      <w:bookmarkEnd w:id="0"/>
    </w:p>
    <w:p w:rsidR="00527549" w:rsidRDefault="00527549" w:rsidP="00527549">
      <w:pPr>
        <w:widowControl/>
        <w:jc w:val="left"/>
        <w:rPr>
          <w:rFonts w:ascii="Cambria" w:eastAsia="仿宋_GB2312" w:hAnsi="Cambria" w:cs="宋体"/>
          <w:kern w:val="0"/>
          <w:sz w:val="29"/>
          <w:szCs w:val="29"/>
        </w:rPr>
        <w:sectPr w:rsidR="00527549">
          <w:pgSz w:w="11906" w:h="16838"/>
          <w:pgMar w:top="1440" w:right="1797" w:bottom="1440" w:left="1814" w:header="851" w:footer="992" w:gutter="0"/>
          <w:pgNumType w:fmt="numberInDash"/>
          <w:cols w:space="720"/>
          <w:titlePg/>
          <w:docGrid w:type="lines" w:linePitch="312"/>
        </w:sectPr>
      </w:pPr>
    </w:p>
    <w:p w:rsidR="00E76E80" w:rsidRPr="00527549" w:rsidRDefault="00527549" w:rsidP="00527549"/>
    <w:sectPr w:rsidR="00E76E80" w:rsidRPr="00527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lgun Gothic Semilight">
    <w:charset w:val="86"/>
    <w:family w:val="swiss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49"/>
    <w:rsid w:val="0010107E"/>
    <w:rsid w:val="00494EC8"/>
    <w:rsid w:val="0052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iki.mbalib.com/wiki/%E9%A1%B9%E7%9B%A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iki.mbalib.com/wiki/%E8%AE%A1%E5%88%92" TargetMode="External"/><Relationship Id="rId5" Type="http://schemas.openxmlformats.org/officeDocument/2006/relationships/hyperlink" Target="http://wiki.mbalib.com/wiki/%E5%9B%BD%E5%AE%B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265</Words>
  <Characters>1514</Characters>
  <Application>Microsoft Office Word</Application>
  <DocSecurity>0</DocSecurity>
  <Lines>12</Lines>
  <Paragraphs>3</Paragraphs>
  <ScaleCrop>false</ScaleCrop>
  <Company>CHINA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2019-12-02T06:50:00Z</dcterms:created>
  <dcterms:modified xsi:type="dcterms:W3CDTF">2019-12-02T06:51:00Z</dcterms:modified>
</cp:coreProperties>
</file>